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附件3</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rPr>
        <w:t>：</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7</w:t>
      </w:r>
      <w:r>
        <w:rPr>
          <w:rFonts w:hint="eastAsia" w:ascii="宋体" w:hAnsi="宋体" w:eastAsia="宋体" w:cs="Times New Roman"/>
          <w:b/>
          <w:sz w:val="36"/>
          <w:szCs w:val="36"/>
        </w:rPr>
        <w:t>年度上海市注册会计师协会</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助理审计人员面授培训计划</w:t>
      </w:r>
    </w:p>
    <w:tbl>
      <w:tblPr>
        <w:tblStyle w:val="6"/>
        <w:tblW w:w="9905" w:type="dxa"/>
        <w:jc w:val="center"/>
        <w:tblInd w:w="0" w:type="dxa"/>
        <w:tblLayout w:type="fixed"/>
        <w:tblCellMar>
          <w:top w:w="15" w:type="dxa"/>
          <w:left w:w="15" w:type="dxa"/>
          <w:bottom w:w="15" w:type="dxa"/>
          <w:right w:w="15" w:type="dxa"/>
        </w:tblCellMar>
      </w:tblPr>
      <w:tblGrid>
        <w:gridCol w:w="1200"/>
        <w:gridCol w:w="2127"/>
        <w:gridCol w:w="5084"/>
        <w:gridCol w:w="1494"/>
      </w:tblGrid>
      <w:tr>
        <w:tblPrEx>
          <w:tblLayout w:type="fixed"/>
          <w:tblCellMar>
            <w:top w:w="15" w:type="dxa"/>
            <w:left w:w="15" w:type="dxa"/>
            <w:bottom w:w="15" w:type="dxa"/>
            <w:right w:w="15" w:type="dxa"/>
          </w:tblCellMar>
        </w:tblPrEx>
        <w:trPr>
          <w:trHeight w:val="436" w:hRule="atLeast"/>
          <w:tblHeader/>
          <w:jc w:val="center"/>
        </w:trPr>
        <w:tc>
          <w:tcPr>
            <w:tcW w:w="1200" w:type="dxa"/>
            <w:tcBorders>
              <w:top w:val="single" w:color="000000" w:sz="12" w:space="0"/>
              <w:left w:val="single" w:color="000000" w:sz="12" w:space="0"/>
              <w:bottom w:val="single" w:color="000000" w:sz="8" w:space="0"/>
              <w:right w:val="single" w:color="000000" w:sz="8" w:space="0"/>
            </w:tcBorders>
            <w:vAlign w:val="center"/>
          </w:tcPr>
          <w:p>
            <w:pPr>
              <w:widowControl/>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lang w:bidi="ar"/>
              </w:rPr>
              <w:t>期数</w:t>
            </w:r>
          </w:p>
        </w:tc>
        <w:tc>
          <w:tcPr>
            <w:tcW w:w="2127" w:type="dxa"/>
            <w:tcBorders>
              <w:top w:val="single" w:color="000000" w:sz="12" w:space="0"/>
              <w:left w:val="single" w:color="000000" w:sz="8" w:space="0"/>
              <w:bottom w:val="single" w:color="000000" w:sz="8" w:space="0"/>
              <w:right w:val="single" w:color="000000" w:sz="8" w:space="0"/>
            </w:tcBorders>
            <w:vAlign w:val="center"/>
          </w:tcPr>
          <w:p>
            <w:pPr>
              <w:widowControl/>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lang w:bidi="ar"/>
              </w:rPr>
              <w:t>日期</w:t>
            </w:r>
          </w:p>
        </w:tc>
        <w:tc>
          <w:tcPr>
            <w:tcW w:w="5084" w:type="dxa"/>
            <w:tcBorders>
              <w:top w:val="single" w:color="000000" w:sz="12" w:space="0"/>
              <w:left w:val="single" w:color="000000" w:sz="8" w:space="0"/>
              <w:bottom w:val="single" w:color="000000" w:sz="8" w:space="0"/>
              <w:right w:val="single" w:color="000000" w:sz="8" w:space="0"/>
            </w:tcBorders>
            <w:vAlign w:val="center"/>
          </w:tcPr>
          <w:p>
            <w:pPr>
              <w:widowControl/>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lang w:bidi="ar"/>
              </w:rPr>
              <w:t>课程内容</w:t>
            </w:r>
          </w:p>
        </w:tc>
        <w:tc>
          <w:tcPr>
            <w:tcW w:w="1494" w:type="dxa"/>
            <w:tcBorders>
              <w:top w:val="single" w:color="000000" w:sz="12" w:space="0"/>
              <w:left w:val="single" w:color="000000" w:sz="8" w:space="0"/>
              <w:bottom w:val="single" w:color="000000" w:sz="8" w:space="0"/>
              <w:right w:val="single" w:color="000000" w:sz="12" w:space="0"/>
            </w:tcBorders>
            <w:vAlign w:val="center"/>
          </w:tcPr>
          <w:p>
            <w:pPr>
              <w:widowControl/>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lang w:bidi="ar"/>
              </w:rPr>
              <w:t>教师</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第1期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2017年6月7日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近期税收政策解读及实务操作</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胡越川</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2017年6月8日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内控咨询业务拓展</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应明德</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2017年6月9日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新金融工具会计准则</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董惠良</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2017年6月9日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语言表达与沟通艺术</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FFFF00"/>
                <w:sz w:val="21"/>
                <w:szCs w:val="21"/>
              </w:rPr>
            </w:pPr>
            <w:r>
              <w:rPr>
                <w:rFonts w:hint="eastAsia" w:ascii="宋体" w:hAnsi="宋体" w:eastAsia="宋体" w:cs="宋体"/>
                <w:sz w:val="21"/>
                <w:szCs w:val="21"/>
                <w:lang w:val="en-US" w:eastAsia="zh-CN"/>
              </w:rPr>
              <w:t>陈贝贝</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第2期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2017年6月28日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管理会计与管理咨询</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李敏</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2017年6月29日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中小企业融资管理</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张桂芳</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2017年6月30日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新收入会计准则</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徐真</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2017年6月30日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商务礼仪</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余晴菲</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第3期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2017年7月19日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税制改革与税收筹划</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胡越川</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2017年7月20日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新租赁会计准则</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倪颖君</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2017年7月20日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时间管理</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朱晶</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2017年7月21日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管理会计在企业增值服务中的运用</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侯幼祥</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第4期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2017年7月31日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会计准则理论沿革与最新修订</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宋航</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2017年8月1日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企业重组并购中的会计审计问题</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刁勇</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2017年8月2日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审计报告中的沟通关键审计事项及相关审计准则变化</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应明德</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第5期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2017年8月16日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企业税收战略</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宋航</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2017年8月16日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语言表达与沟通艺术</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陈贝贝</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2017年8月17日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财政部《增值税会计处理》解读</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李正华</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2017年8月18日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内部控制审计的理论与实践</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侯幼祥</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第6期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2017年9月13日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审计报告中的沟通关键审计事项及相关审计准则变化</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应明德</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2017年9月14日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行为金融学</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黄长胤</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12"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2017年9月14日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注册会计师行为修养与沟通</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高伟</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12"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2017年9月15日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环境与形势——审计从业人员的法律风险防范与法治思维建设</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贺伟跃</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12"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第7期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2017年9月27日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近期税收政策解读及实务操作</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胡越川</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12"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2017年9月28日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财政部《增值税会计处理》解读</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李正华</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2017年9月29日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企业并购与投融资</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王怀方</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12"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第8期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2017年10月25日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长期股权投资及企业合并</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刁勇</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12"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2017年10月26日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互联网时代管理会计</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王纪平</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2017年10月26日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注册会计师行为修养与沟通</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高伟</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2017年10月27日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目标与任务——《关于完善审计制度若干重大问题的框架意见》的解读</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贺伟跃</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第9期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2017年11月15日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管理会计与管理咨询</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李敏</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2017年11月16日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中小企业融资管理</w:t>
            </w:r>
          </w:p>
        </w:tc>
        <w:tc>
          <w:tcPr>
            <w:tcW w:w="1494" w:type="dxa"/>
            <w:tcBorders>
              <w:top w:val="single" w:color="000000" w:sz="8" w:space="0"/>
              <w:left w:val="single" w:color="000000" w:sz="8" w:space="0"/>
              <w:bottom w:val="single" w:color="000000" w:sz="8" w:space="0"/>
              <w:right w:val="single" w:color="000000" w:sz="12"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张桂芳</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2017年11月17日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金融市场与金融工具</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叶小杰</w:t>
            </w:r>
          </w:p>
        </w:tc>
      </w:tr>
      <w:tr>
        <w:tblPrEx>
          <w:tblLayout w:type="fixed"/>
          <w:tblCellMar>
            <w:top w:w="15" w:type="dxa"/>
            <w:left w:w="15" w:type="dxa"/>
            <w:bottom w:w="15" w:type="dxa"/>
            <w:right w:w="15" w:type="dxa"/>
          </w:tblCellMar>
        </w:tblPrEx>
        <w:trPr>
          <w:trHeight w:val="340" w:hRule="atLeast"/>
          <w:jc w:val="center"/>
        </w:trPr>
        <w:tc>
          <w:tcPr>
            <w:tcW w:w="1200" w:type="dxa"/>
            <w:vMerge w:val="restart"/>
            <w:tcBorders>
              <w:top w:val="single" w:color="000000" w:sz="8" w:space="0"/>
              <w:left w:val="single" w:color="000000" w:sz="12"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第10期</w:t>
            </w: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2017年12月6日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会计准则理论沿革与最新修订</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宋航</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2017年12月7日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管理会计发展与前沿热点</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陈胜群</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2017年12月</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创新金融工具</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田雪彦</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12"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2017年12月8日</w:t>
            </w:r>
          </w:p>
        </w:tc>
        <w:tc>
          <w:tcPr>
            <w:tcW w:w="5084"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注册会计师行为修养与沟通</w:t>
            </w:r>
          </w:p>
        </w:tc>
        <w:tc>
          <w:tcPr>
            <w:tcW w:w="1494" w:type="dxa"/>
            <w:tcBorders>
              <w:top w:val="single" w:color="000000" w:sz="8" w:space="0"/>
              <w:left w:val="single" w:color="000000" w:sz="8" w:space="0"/>
              <w:bottom w:val="single" w:color="000000" w:sz="8" w:space="0"/>
              <w:right w:val="single" w:color="000000" w:sz="12"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高伟</w:t>
            </w:r>
          </w:p>
        </w:tc>
      </w:tr>
      <w:tr>
        <w:tblPrEx>
          <w:tblLayout w:type="fixed"/>
          <w:tblCellMar>
            <w:top w:w="15" w:type="dxa"/>
            <w:left w:w="15" w:type="dxa"/>
            <w:bottom w:w="15" w:type="dxa"/>
            <w:right w:w="15" w:type="dxa"/>
          </w:tblCellMar>
        </w:tblPrEx>
        <w:trPr>
          <w:trHeight w:val="340" w:hRule="atLeast"/>
          <w:jc w:val="center"/>
        </w:trPr>
        <w:tc>
          <w:tcPr>
            <w:tcW w:w="1200" w:type="dxa"/>
            <w:vMerge w:val="continue"/>
            <w:tcBorders>
              <w:top w:val="single" w:color="000000" w:sz="8" w:space="0"/>
              <w:left w:val="single" w:color="000000" w:sz="12" w:space="0"/>
              <w:bottom w:val="single" w:color="000000" w:sz="12" w:space="0"/>
              <w:right w:val="single" w:color="000000" w:sz="8" w:space="0"/>
            </w:tcBorders>
            <w:vAlign w:val="center"/>
          </w:tcPr>
          <w:p>
            <w:pPr>
              <w:jc w:val="center"/>
              <w:rPr>
                <w:rFonts w:hint="eastAsia" w:ascii="宋体" w:hAnsi="宋体" w:eastAsia="宋体" w:cs="宋体"/>
                <w:color w:val="000000"/>
                <w:sz w:val="21"/>
                <w:szCs w:val="21"/>
              </w:rPr>
            </w:pPr>
          </w:p>
        </w:tc>
        <w:tc>
          <w:tcPr>
            <w:tcW w:w="2127" w:type="dxa"/>
            <w:tcBorders>
              <w:top w:val="single" w:color="000000" w:sz="8" w:space="0"/>
              <w:left w:val="single" w:color="000000" w:sz="8" w:space="0"/>
              <w:bottom w:val="single" w:color="000000" w:sz="12" w:space="0"/>
              <w:right w:val="single" w:color="000000" w:sz="8"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2017年12月8日</w:t>
            </w:r>
          </w:p>
        </w:tc>
        <w:tc>
          <w:tcPr>
            <w:tcW w:w="5084" w:type="dxa"/>
            <w:tcBorders>
              <w:top w:val="single" w:color="000000" w:sz="8" w:space="0"/>
              <w:left w:val="single" w:color="000000" w:sz="8" w:space="0"/>
              <w:bottom w:val="single" w:color="000000" w:sz="12" w:space="0"/>
              <w:right w:val="single" w:color="000000" w:sz="8"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大数据与互联网+</w:t>
            </w:r>
          </w:p>
        </w:tc>
        <w:tc>
          <w:tcPr>
            <w:tcW w:w="1494" w:type="dxa"/>
            <w:tcBorders>
              <w:top w:val="single" w:color="000000" w:sz="8" w:space="0"/>
              <w:left w:val="single" w:color="000000" w:sz="8" w:space="0"/>
              <w:bottom w:val="single" w:color="000000" w:sz="12" w:space="0"/>
              <w:right w:val="single" w:color="000000" w:sz="1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黄长胤</w:t>
            </w:r>
          </w:p>
        </w:tc>
      </w:tr>
    </w:tbl>
    <w:p>
      <w:pPr>
        <w:spacing w:line="600" w:lineRule="exact"/>
        <w:jc w:val="center"/>
        <w:rPr>
          <w:rFonts w:hint="eastAsia" w:ascii="宋体" w:hAnsi="宋体" w:eastAsia="宋体" w:cs="Times New Roman"/>
          <w:b/>
          <w:sz w:val="36"/>
          <w:szCs w:val="36"/>
        </w:rPr>
      </w:pPr>
    </w:p>
    <w:p>
      <w:pPr>
        <w:spacing w:line="600" w:lineRule="exact"/>
        <w:jc w:val="center"/>
        <w:rPr>
          <w:rFonts w:ascii="宋体" w:hAnsi="宋体" w:eastAsia="宋体" w:cs="Times New Roman"/>
          <w:b/>
          <w:sz w:val="36"/>
          <w:szCs w:val="36"/>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附件3-2：</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7</w:t>
      </w:r>
      <w:r>
        <w:rPr>
          <w:rFonts w:hint="eastAsia" w:ascii="宋体" w:hAnsi="宋体" w:eastAsia="宋体" w:cs="Times New Roman"/>
          <w:b/>
          <w:sz w:val="36"/>
          <w:szCs w:val="36"/>
        </w:rPr>
        <w:t>年度上海市注册会计师协会</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助理审计人员网络培训课程清单</w:t>
      </w:r>
    </w:p>
    <w:tbl>
      <w:tblPr>
        <w:tblStyle w:val="6"/>
        <w:tblW w:w="9165" w:type="dxa"/>
        <w:jc w:val="center"/>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690"/>
        <w:gridCol w:w="2385"/>
        <w:gridCol w:w="4125"/>
        <w:gridCol w:w="1170"/>
        <w:gridCol w:w="79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40" w:hRule="atLeast"/>
          <w:tblHeader/>
          <w:jc w:val="center"/>
        </w:trPr>
        <w:tc>
          <w:tcPr>
            <w:tcW w:w="690" w:type="dxa"/>
            <w:vMerge w:val="restart"/>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385" w:type="dxa"/>
            <w:vMerge w:val="restart"/>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类别名称</w:t>
            </w:r>
          </w:p>
        </w:tc>
        <w:tc>
          <w:tcPr>
            <w:tcW w:w="4125" w:type="dxa"/>
            <w:vMerge w:val="restart"/>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1170" w:type="dxa"/>
            <w:vMerge w:val="restart"/>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教师</w:t>
            </w:r>
          </w:p>
        </w:tc>
        <w:tc>
          <w:tcPr>
            <w:tcW w:w="795" w:type="dxa"/>
            <w:vMerge w:val="restart"/>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tblHeader/>
          <w:jc w:val="center"/>
        </w:trPr>
        <w:tc>
          <w:tcPr>
            <w:tcW w:w="690" w:type="dxa"/>
            <w:vMerge w:val="continue"/>
            <w:tcBorders>
              <w:tl2br w:val="nil"/>
              <w:tr2bl w:val="nil"/>
            </w:tcBorders>
            <w:shd w:val="clear" w:color="auto" w:fill="auto"/>
            <w:vAlign w:val="bottom"/>
          </w:tcPr>
          <w:p>
            <w:pPr>
              <w:jc w:val="center"/>
              <w:rPr>
                <w:rFonts w:hint="eastAsia" w:ascii="宋体" w:hAnsi="宋体" w:eastAsia="宋体" w:cs="宋体"/>
                <w:b/>
                <w:i w:val="0"/>
                <w:color w:val="000000"/>
                <w:sz w:val="20"/>
                <w:szCs w:val="20"/>
                <w:u w:val="none"/>
              </w:rPr>
            </w:pPr>
          </w:p>
        </w:tc>
        <w:tc>
          <w:tcPr>
            <w:tcW w:w="2385" w:type="dxa"/>
            <w:vMerge w:val="continue"/>
            <w:tcBorders>
              <w:tl2br w:val="nil"/>
              <w:tr2bl w:val="nil"/>
            </w:tcBorders>
            <w:shd w:val="clear" w:color="auto" w:fill="auto"/>
            <w:vAlign w:val="bottom"/>
          </w:tcPr>
          <w:p>
            <w:pPr>
              <w:jc w:val="center"/>
              <w:rPr>
                <w:rFonts w:hint="eastAsia" w:ascii="宋体" w:hAnsi="宋体" w:eastAsia="宋体" w:cs="宋体"/>
                <w:b/>
                <w:i w:val="0"/>
                <w:color w:val="000000"/>
                <w:sz w:val="20"/>
                <w:szCs w:val="20"/>
                <w:u w:val="none"/>
              </w:rPr>
            </w:pPr>
          </w:p>
        </w:tc>
        <w:tc>
          <w:tcPr>
            <w:tcW w:w="4125" w:type="dxa"/>
            <w:vMerge w:val="continue"/>
            <w:tcBorders>
              <w:tl2br w:val="nil"/>
              <w:tr2bl w:val="nil"/>
            </w:tcBorders>
            <w:shd w:val="clear" w:color="auto" w:fill="auto"/>
            <w:vAlign w:val="bottom"/>
          </w:tcPr>
          <w:p>
            <w:pPr>
              <w:jc w:val="center"/>
              <w:rPr>
                <w:rFonts w:hint="eastAsia" w:ascii="宋体" w:hAnsi="宋体" w:eastAsia="宋体" w:cs="宋体"/>
                <w:b/>
                <w:i w:val="0"/>
                <w:color w:val="000000"/>
                <w:sz w:val="20"/>
                <w:szCs w:val="20"/>
                <w:u w:val="none"/>
              </w:rPr>
            </w:pPr>
          </w:p>
        </w:tc>
        <w:tc>
          <w:tcPr>
            <w:tcW w:w="1170" w:type="dxa"/>
            <w:vMerge w:val="continue"/>
            <w:tcBorders>
              <w:tl2br w:val="nil"/>
              <w:tr2bl w:val="nil"/>
            </w:tcBorders>
            <w:shd w:val="clear" w:color="auto" w:fill="auto"/>
            <w:vAlign w:val="bottom"/>
          </w:tcPr>
          <w:p>
            <w:pPr>
              <w:jc w:val="center"/>
              <w:rPr>
                <w:rFonts w:hint="eastAsia" w:ascii="宋体" w:hAnsi="宋体" w:eastAsia="宋体" w:cs="宋体"/>
                <w:b/>
                <w:i w:val="0"/>
                <w:color w:val="000000"/>
                <w:sz w:val="20"/>
                <w:szCs w:val="20"/>
                <w:u w:val="none"/>
              </w:rPr>
            </w:pPr>
          </w:p>
        </w:tc>
        <w:tc>
          <w:tcPr>
            <w:tcW w:w="795" w:type="dxa"/>
            <w:vMerge w:val="continue"/>
            <w:tcBorders>
              <w:tl2br w:val="nil"/>
              <w:tr2bl w:val="nil"/>
            </w:tcBorders>
            <w:shd w:val="clear" w:color="auto" w:fill="auto"/>
            <w:vAlign w:val="bottom"/>
          </w:tcPr>
          <w:p>
            <w:pPr>
              <w:jc w:val="center"/>
              <w:rPr>
                <w:rFonts w:hint="eastAsia" w:ascii="宋体" w:hAnsi="宋体" w:eastAsia="宋体" w:cs="宋体"/>
                <w:b/>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企业财务风险管理-价格风险</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杨军战</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企业财务风险管理-信用风险</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杨军战</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企业财务风险管理-利率风险</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杨军战</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企业财务风险管理-汇率风险</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杨军战</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企业财务风险管理-基础篇</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杨军战</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开启财务管理咨询之门</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丁晓春</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票据业务基础知识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黄立新</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财务--财务管理</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行政事业单位基本建设财务管理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李琛</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财务--财务规则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基本建设财务规则解读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李琛</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财务--财务规则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《进一步明确国有金融企业直接股权投资有关资产管理问题的通知》解读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权责发生制政府综合财务报告制度改革方案讲解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《政府会计准则第4号-无形资产》讲解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《政府会计准则第3号-固定资产》讲解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《政府会计准则第2号-投资》讲解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《政府会计准则第1号-存货》讲解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公允价值计量相关会计准则介绍</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徐华新</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2015-2016企业会计准则变化与趋势</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夏文贤</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《商品期货套期业务会计处理暂行规定》解读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邵丽丽</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民间非营利组织会计制度讲解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郭永清</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政府综合财务报告编制操作指南讲解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陈璐璐</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政府部门财务报告编制操作指南讲解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杜美妮</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政府财务报告编制办法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陆阳春</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关于印发《财政总预算会计制度》的通知解读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《企业会计准则解释第7-8号》解读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赵春光</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会计--财务会计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《政府会计准则-基本准则》讲解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数字化转型与管理会计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王兴山</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SNAI财经讲堂--企业转型与创新发展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刘凤委</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房地产企业商务智能管理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马红兵</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房地产企业全面预算管理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马红兵</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房地产企业成本管理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马红兵</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管理会计：创新、发展与实践</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高圣华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SNAI财经讲堂--供给侧结构调整时期的成本管理困境与出路</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全面预算管理详解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马广林</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《关于全面推进管理会计体系建设的指导意见》系列解读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企业如何引入管理会计体系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方岚</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管理会计创新-阿米巴经营模式</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佟成生</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标准成本法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量本利分析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成本性态分析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王纪平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会计--管理会计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管理会计基本方法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赵春光</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企业所得税纳税申报实操指南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企业所得税特殊事项申报实操指南——资产损失填写指南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企业所得税特殊事项申报实操指南——薪酬相关申报表填写指南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电子发票与电子会计档案的发展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刘梅玲</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（财才网）第三章 执行力</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章岚</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《会计档案管理办法2015》解读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刘梅玲</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房地产开发企业“营改增”会计处理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郭青聪</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“营改增”账务处理误区</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赵金梅</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房地产开发企业会计核算实务详解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村集体经济组织报账员实务详解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曹文莉</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9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村集体经济组织报账员实务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朱火金</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现金流量表的编制与分析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徐峥</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会计--会计信息化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《企业会计准则通用分类标准2015》讲解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刘梅玲</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会计--会计信息化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《行政事业单位国有资产管理信息系统管理规程》解读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刘梅玲</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金融--金融基础</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金融基础知识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黄长胤</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投资决策分析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余坚</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新金融行业风险预警及管控</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韩复龄</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当前世界经济金融形势</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朱光耀</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新常态下改革与创新重点领域投融资机制</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杨萍</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私募股权投资</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王怀芳</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普惠金融的发展和创新</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白澄宇</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小额贷款公司融资途径拓展路径创新案例分析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何广文</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小微金融征信的创新</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赖金昌</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中小微企业融资与发展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狄娜</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村镇银行小额信贷-内蒙鄂温克旗包商村镇银行案例</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何广文</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农村商业银行小额信贷风控机制与绩效分析-山东莱州农商银行案例</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何广文</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金融--金融实务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新时期农村金融制度创新</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何广文</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经济法--保险制度</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《国务院关于机关事业单位工作人员养老保险制度改革的决定》解读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葛玉御</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强制清算法律程序解析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李凯</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注册会计师在破产清算中的职责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周逸</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注册会计师承办破产与强清案件的法律注意要点</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李成浩</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破产重整中的法律规制和管理人操作实务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郝朝晖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知识产权保护概念及案例</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万跃华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合同签订技巧</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教师团队</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经济法--实务案例</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合同常见陷阱条款</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教师团队</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《政府采购法实施条例》的理解与适用</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王周欢</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行政诉讼法修正案解读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莫于川</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我国反垄断法律制度</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赵国斌</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现金管理暂行条例讲解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余坚</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《地方行政单位国有资产处置管理暂行办法》讲解</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朱丹</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新《预算法》解读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《政府购买服务管理办法（暂行）》解读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王周欢</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经济法--政策解读</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新《预算法》对预算编制执行的挑战</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内部控制--内控规范</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企业内部控制规范体系实施中相关问题解释</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内部控制--内控规范</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《关于全面推进行政事业单位内部控制建设的指导意见》解读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郭永清</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内部控制--内控实务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行政事业单位内部控制实务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郭永清</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内部控制--内控实务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领导干部职务犯罪风险预防</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张远煌</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内部控制--内控实务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听警官讲财务风险防范</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于钰</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审计--内部审计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内部审计具体准则2103号—审计证据</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宋德亮</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审计--内部审计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内部审计具体准则2101号—审计计划</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宋德亮</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如何做好审计过程中主审与助审之间的沟通</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刘志耕</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基建财务评审操作实务和要点分析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董璀</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经济责任审计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马莉黛</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房地产开发企业审计疑难问题解析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屠颖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风险导向审计-四大方法论的历史和启示</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陈燚</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审计--审计实务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高新技术企业认定与审计2016</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张宏昌</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注册会计师职业道德守则问题解答</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刘霄仑</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审计准则问题解答第13号-持续经营</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审计准则问题解答第12号-货币资金审计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审计准则问题解答第11号-会计估计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审计准则问题解答第10号-集团财务报表审计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审计准则问题解答第9号-项目质量控制复核</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审计准则问题解答第8号-重要性及评价错报</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审计准则问题解答第7号-会计分录测试</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应明德</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238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审计--注册会计师执业准则</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注册会计师职业判断指南解读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赵际喆</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企业所得税特殊事项申报实操指南——跨期发票申报表填写指南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企业所得税特殊事项申报实操指南——固定资产申报表填写指南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企业所得税特殊事项申报实操指南——广告费和业务宣传费</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企业所得税特殊事项申报实操指南——政府补助申报表填写指南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企业所得税特殊事项申报实操指南——交易性金融资产填写指南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郑大世</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营改增纳税筹划实务操作案例分析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冯守东</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“营改增”纳税筹划要点</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冯守东</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“营改增”纳税申报全景分析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王惠丽</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企业并购重组税务规划专题（七）减资、撤资或清算</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企业并购重组税务规划专题（六）资产（股权）划转</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企业并购重组税务规划专题（五）非货币性资产投资</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企业并购重组税务规划专题（四）债务重组</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企业并购重组税务规划专题（三）企业合并与分立</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企业并购重组税务规划专题（二）资产收购和股权收购</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企业并购重组税务规划专题（一）概述</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陈爱华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无锡地税2015年度企业所得税政策及汇缴申报</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杨烨飞</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无锡地税办税实务（2016）</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季洁</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会计与税务的协同管理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赵耀</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9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应税服务的税收管理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宋航</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房地产企业纳税实务及风险防范</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企业纳税风险防范与税务稽查</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安彩敏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企业所得税新申报表填报技巧和案例分析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赵耀</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税法--税收实务</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企业年金税收优惠政策解析与实务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季周</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金融业“营改增”政策解读与实务应对</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冯守东</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生活服务业“营改增”政策解读与实务应对</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何成实</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全面解读“营改增”新政[2016]36号文</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何成实</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“营改增”政策全面梳理</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赵金梅</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营改增政策解读和应对策略</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郑庆华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建筑及房地产行业营改增解析</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宋航</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固定资产加速折旧企业所得税相关政策解读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葛玉御</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《企业所得税优惠政策事项办理办法》解读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葛玉御</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《税收减免管理办法》解读</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葛玉御</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个人所得税最新政策及风险防范</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税法--税收政策</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企业所得税政策变化2014-2015</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李兆婴</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综合--计算机技术</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微课制作技巧</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张敏</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综合--计算机技术</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玩转EXCEL函数</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吴辉</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综合--计算机技术</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大数据引领企业数字化转型</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王相成</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综合--计算机技术</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计算机和手机终端操作安全实务</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刘增明</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atLeast"/>
          <w:jc w:val="center"/>
        </w:trPr>
        <w:tc>
          <w:tcPr>
            <w:tcW w:w="69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238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综合--论文写作</w:t>
            </w:r>
          </w:p>
        </w:tc>
        <w:tc>
          <w:tcPr>
            <w:tcW w:w="4125"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财会实务论文写作</w:t>
            </w:r>
          </w:p>
        </w:tc>
        <w:tc>
          <w:tcPr>
            <w:tcW w:w="1170"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孙蕊</w:t>
            </w:r>
          </w:p>
        </w:tc>
        <w:tc>
          <w:tcPr>
            <w:tcW w:w="795"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 </w:t>
            </w:r>
          </w:p>
        </w:tc>
      </w:tr>
    </w:tbl>
    <w:p>
      <w:pPr>
        <w:spacing w:line="600" w:lineRule="exact"/>
        <w:rPr>
          <w:rFonts w:ascii="仿宋_GB2312" w:hAnsi="Times New Roman" w:eastAsia="仿宋_GB2312" w:cs="Times New Roman"/>
          <w:sz w:val="30"/>
          <w:szCs w:val="30"/>
        </w:rPr>
      </w:pPr>
      <w:bookmarkStart w:id="0" w:name="_GoBack"/>
      <w:bookmarkEnd w:id="0"/>
      <w:r>
        <w:rPr>
          <w:rFonts w:hint="eastAsia" w:ascii="仿宋_GB2312" w:hAnsi="Times New Roman" w:eastAsia="仿宋_GB2312" w:cs="Times New Roman"/>
          <w:sz w:val="30"/>
          <w:szCs w:val="30"/>
        </w:rPr>
        <w:t>附件3-3：</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7</w:t>
      </w:r>
      <w:r>
        <w:rPr>
          <w:rFonts w:hint="eastAsia" w:ascii="宋体" w:hAnsi="宋体" w:eastAsia="宋体" w:cs="Times New Roman"/>
          <w:b/>
          <w:sz w:val="36"/>
          <w:szCs w:val="36"/>
        </w:rPr>
        <w:t>年度上海市注册会计师协会</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助理审计人员网络继续教育培训流程</w:t>
      </w:r>
    </w:p>
    <w:p>
      <w:pPr>
        <w:spacing w:line="600" w:lineRule="exact"/>
        <w:jc w:val="center"/>
        <w:rPr>
          <w:rFonts w:ascii="宋体" w:hAnsi="宋体" w:eastAsia="宋体" w:cs="Times New Roman"/>
          <w:b/>
          <w:sz w:val="36"/>
          <w:szCs w:val="36"/>
        </w:rPr>
      </w:pPr>
    </w:p>
    <w:p>
      <w:pPr>
        <w:rPr>
          <w:rFonts w:ascii="仿宋_GB2312" w:eastAsia="仿宋_GB2312"/>
          <w:sz w:val="30"/>
          <w:szCs w:val="30"/>
        </w:rPr>
      </w:pPr>
      <w:r>
        <w:rPr>
          <w:rFonts w:hint="eastAsia" w:ascii="仿宋_GB2312" w:eastAsia="仿宋_GB2312"/>
          <w:sz w:val="30"/>
          <w:szCs w:val="30"/>
        </w:rPr>
        <w:t>第一步：登录指定的继续教育培训网站</w:t>
      </w:r>
    </w:p>
    <w:p>
      <w:pPr>
        <w:rPr>
          <w:rFonts w:ascii="仿宋_GB2312" w:eastAsia="仿宋_GB2312"/>
          <w:sz w:val="30"/>
          <w:szCs w:val="30"/>
        </w:rPr>
      </w:pPr>
      <w:r>
        <w:rPr>
          <w:rFonts w:hint="eastAsia" w:ascii="仿宋_GB2312" w:eastAsia="仿宋_GB2312"/>
          <w:sz w:val="30"/>
          <w:szCs w:val="30"/>
        </w:rPr>
        <w:t>1．输入网址：cpacyshanghai.ce.esnai.net</w:t>
      </w:r>
    </w:p>
    <w:p>
      <w:pPr>
        <w:rPr>
          <w:rFonts w:ascii="仿宋_GB2312" w:eastAsia="仿宋_GB2312"/>
          <w:sz w:val="30"/>
          <w:szCs w:val="30"/>
        </w:rPr>
      </w:pPr>
      <w:r>
        <w:rPr>
          <w:rFonts w:hint="eastAsia" w:ascii="仿宋_GB2312" w:eastAsia="仿宋_GB2312"/>
          <w:sz w:val="30"/>
          <w:szCs w:val="30"/>
        </w:rPr>
        <w:t>2．登录培训</w:t>
      </w:r>
    </w:p>
    <w:p>
      <w:pPr>
        <w:ind w:firstLine="405"/>
        <w:rPr>
          <w:rFonts w:ascii="仿宋_GB2312" w:eastAsia="仿宋_GB2312"/>
          <w:sz w:val="30"/>
          <w:szCs w:val="30"/>
        </w:rPr>
      </w:pPr>
      <w:r>
        <w:rPr>
          <w:rFonts w:hint="eastAsia" w:ascii="仿宋_GB2312" w:eastAsia="仿宋_GB2312"/>
          <w:sz w:val="30"/>
          <w:szCs w:val="30"/>
        </w:rPr>
        <w:t>在“学员登录”区，输入学习卡、密码登录。</w:t>
      </w:r>
    </w:p>
    <w:p>
      <w:pPr>
        <w:ind w:firstLine="405"/>
        <w:rPr>
          <w:rFonts w:ascii="楷体_GB2312" w:eastAsia="楷体_GB2312"/>
          <w:b/>
          <w:sz w:val="30"/>
          <w:szCs w:val="30"/>
        </w:rPr>
      </w:pPr>
      <w:r>
        <w:rPr>
          <w:rFonts w:hint="eastAsia" w:ascii="楷体_GB2312" w:eastAsia="楷体_GB2312"/>
          <w:b/>
          <w:sz w:val="30"/>
          <w:szCs w:val="30"/>
        </w:rPr>
        <w:t>学习卡和密码在QQ群（340994442）里向各事务所发放。</w:t>
      </w:r>
    </w:p>
    <w:p>
      <w:r>
        <w:drawing>
          <wp:inline distT="0" distB="0" distL="0" distR="0">
            <wp:extent cx="2228850" cy="1581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8850" cy="158115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3．补充个人信息</w:t>
      </w:r>
    </w:p>
    <w:p>
      <w:pPr>
        <w:rPr>
          <w:rFonts w:ascii="仿宋_GB2312" w:eastAsia="仿宋_GB2312"/>
          <w:sz w:val="30"/>
          <w:szCs w:val="30"/>
        </w:rPr>
      </w:pPr>
      <w:r>
        <w:rPr>
          <w:rFonts w:hint="eastAsia" w:ascii="仿宋_GB2312" w:eastAsia="仿宋_GB2312"/>
          <w:sz w:val="30"/>
          <w:szCs w:val="30"/>
        </w:rPr>
        <w:t xml:space="preserve">   登录后，在弹出的补充信息窗口，填写您的准确信息。</w:t>
      </w:r>
    </w:p>
    <w:p>
      <w:r>
        <w:drawing>
          <wp:inline distT="0" distB="0" distL="0" distR="0">
            <wp:extent cx="4467225" cy="2190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7225" cy="219075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第二步：选课</w:t>
      </w:r>
    </w:p>
    <w:p>
      <w:pPr>
        <w:rPr>
          <w:rFonts w:ascii="仿宋_GB2312" w:eastAsia="仿宋_GB2312"/>
          <w:sz w:val="30"/>
          <w:szCs w:val="30"/>
        </w:rPr>
      </w:pPr>
      <w:r>
        <w:rPr>
          <w:rFonts w:hint="eastAsia" w:ascii="仿宋_GB2312" w:eastAsia="仿宋_GB2312"/>
          <w:sz w:val="30"/>
          <w:szCs w:val="30"/>
        </w:rPr>
        <w:t>1．选课。</w:t>
      </w:r>
      <w:r>
        <w:rPr>
          <w:rFonts w:ascii="仿宋_GB2312" w:eastAsia="仿宋_GB2312"/>
          <w:sz w:val="30"/>
          <w:szCs w:val="30"/>
        </w:rPr>
        <w:t>选课数量无上限，同一课程可以反复收听。为避免平台系统冲突建议多人用同一账号登录学习时避免同一时间学习同一课程。</w:t>
      </w:r>
    </w:p>
    <w:p>
      <w:pPr>
        <w:rPr>
          <w:rFonts w:ascii="仿宋_GB2312" w:eastAsia="仿宋_GB2312"/>
          <w:sz w:val="30"/>
          <w:szCs w:val="30"/>
        </w:rPr>
      </w:pPr>
      <w:r>
        <w:rPr>
          <w:rFonts w:hint="eastAsia" w:ascii="仿宋_GB2312" w:eastAsia="仿宋_GB2312"/>
          <w:sz w:val="30"/>
          <w:szCs w:val="30"/>
        </w:rPr>
        <w:t xml:space="preserve">   （1）选课。点“选课”后即可看到“进入学习”按钮；</w:t>
      </w:r>
    </w:p>
    <w:p>
      <w:pPr>
        <w:rPr>
          <w:rFonts w:ascii="仿宋_GB2312" w:eastAsia="仿宋_GB2312"/>
          <w:sz w:val="30"/>
          <w:szCs w:val="30"/>
        </w:rPr>
      </w:pPr>
      <w:r>
        <w:rPr>
          <w:rFonts w:hint="eastAsia" w:ascii="仿宋_GB2312" w:eastAsia="仿宋_GB2312"/>
          <w:sz w:val="30"/>
          <w:szCs w:val="30"/>
        </w:rPr>
        <w:t xml:space="preserve">   （2）取消选课。未听课前，可点“取消”取消选课。</w:t>
      </w:r>
    </w:p>
    <w:p>
      <w:r>
        <w:drawing>
          <wp:inline distT="0" distB="0" distL="0" distR="0">
            <wp:extent cx="5274310" cy="1801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801495"/>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第三步：在线学习</w:t>
      </w:r>
    </w:p>
    <w:p>
      <w:p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在选课成功确认后，您可以选择需要学习的课程，点击</w:t>
      </w:r>
      <w:r>
        <w:rPr>
          <w:rFonts w:hint="eastAsia" w:ascii="仿宋_GB2312" w:eastAsia="仿宋_GB2312"/>
          <w:sz w:val="30"/>
          <w:szCs w:val="30"/>
        </w:rPr>
        <w:t>“</w:t>
      </w:r>
      <w:r>
        <w:rPr>
          <w:rFonts w:ascii="仿宋_GB2312" w:eastAsia="仿宋_GB2312"/>
          <w:sz w:val="30"/>
          <w:szCs w:val="30"/>
        </w:rPr>
        <w:t>进入学习</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 xml:space="preserve"> </w:t>
      </w:r>
    </w:p>
    <w:p>
      <w:r>
        <w:drawing>
          <wp:inline distT="0" distB="0" distL="0" distR="0">
            <wp:extent cx="5274310" cy="18014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801495"/>
                    </a:xfrm>
                    <a:prstGeom prst="rect">
                      <a:avLst/>
                    </a:prstGeom>
                  </pic:spPr>
                </pic:pic>
              </a:graphicData>
            </a:graphic>
          </wp:inline>
        </w:drawing>
      </w:r>
    </w:p>
    <w:p/>
    <w:p>
      <w:pPr>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学习中心功能：</w:t>
      </w:r>
    </w:p>
    <w:p>
      <w:pPr>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（1）课程学习：进入课程学习页面，点击“在线播放”，开始课程学习，系统将记录听课时长；每门课程附有“课后练习”及“讲义资料下载”</w:t>
      </w:r>
      <w:r>
        <w:rPr>
          <w:rFonts w:hint="eastAsia" w:ascii="仿宋_GB2312" w:eastAsia="仿宋_GB2312"/>
          <w:sz w:val="30"/>
          <w:szCs w:val="30"/>
        </w:rPr>
        <w:t>（部分课程不提供讲义）</w:t>
      </w:r>
      <w:r>
        <w:rPr>
          <w:rFonts w:ascii="仿宋_GB2312" w:eastAsia="仿宋_GB2312"/>
          <w:sz w:val="30"/>
          <w:szCs w:val="30"/>
        </w:rPr>
        <w:t>。</w:t>
      </w:r>
    </w:p>
    <w:p>
      <w:r>
        <w:drawing>
          <wp:inline distT="0" distB="0" distL="0" distR="0">
            <wp:extent cx="5274310" cy="2777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777490"/>
                    </a:xfrm>
                    <a:prstGeom prst="rect">
                      <a:avLst/>
                    </a:prstGeom>
                  </pic:spPr>
                </pic:pic>
              </a:graphicData>
            </a:graphic>
          </wp:inline>
        </w:drawing>
      </w:r>
    </w:p>
    <w:p>
      <w:r>
        <w:rPr>
          <w:rFonts w:hint="eastAsia"/>
        </w:rPr>
        <w:t xml:space="preserve">  </w:t>
      </w:r>
      <w:r>
        <w:rPr>
          <w:rFonts w:hint="eastAsia" w:ascii="仿宋_GB2312" w:eastAsia="仿宋_GB2312"/>
          <w:sz w:val="30"/>
          <w:szCs w:val="30"/>
        </w:rPr>
        <w:t xml:space="preserve"> （2）答疑中心：培训相关提问24小时内答复；</w:t>
      </w:r>
    </w:p>
    <w:p>
      <w:r>
        <w:rPr>
          <w:rFonts w:hint="eastAsia"/>
        </w:rPr>
        <w:drawing>
          <wp:inline distT="0" distB="0" distL="0" distR="0">
            <wp:extent cx="2352675" cy="2409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2409825"/>
                    </a:xfrm>
                    <a:prstGeom prst="rect">
                      <a:avLst/>
                    </a:prstGeom>
                  </pic:spPr>
                </pic:pic>
              </a:graphicData>
            </a:graphic>
          </wp:inline>
        </w:drawing>
      </w:r>
    </w:p>
    <w:p>
      <w:r>
        <w:drawing>
          <wp:inline distT="0" distB="0" distL="0" distR="0">
            <wp:extent cx="5274310" cy="17354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35455"/>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第四步：培训报告</w:t>
      </w:r>
    </w:p>
    <w:p>
      <w:pPr>
        <w:rPr>
          <w:rFonts w:ascii="仿宋_GB2312" w:eastAsia="仿宋_GB2312"/>
          <w:sz w:val="30"/>
          <w:szCs w:val="30"/>
        </w:rPr>
      </w:pPr>
      <w:r>
        <w:rPr>
          <w:rFonts w:hint="eastAsia" w:ascii="仿宋_GB2312" w:eastAsia="仿宋_GB2312"/>
          <w:sz w:val="30"/>
          <w:szCs w:val="30"/>
        </w:rPr>
        <w:t>在集团首页“培训信息”区可以查看自己的培训情况</w:t>
      </w:r>
    </w:p>
    <w:p>
      <w:r>
        <w:drawing>
          <wp:inline distT="0" distB="0" distL="0" distR="0">
            <wp:extent cx="5274310" cy="1596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639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备注：教务咨询电话及工作时间</w:t>
      </w:r>
    </w:p>
    <w:p>
      <w:pPr>
        <w:rPr>
          <w:rFonts w:ascii="仿宋_GB2312" w:eastAsia="仿宋_GB2312"/>
          <w:sz w:val="30"/>
          <w:szCs w:val="30"/>
        </w:rPr>
      </w:pPr>
      <w:r>
        <w:rPr>
          <w:rFonts w:hint="eastAsia" w:ascii="仿宋_GB2312" w:eastAsia="仿宋_GB2312"/>
          <w:sz w:val="30"/>
          <w:szCs w:val="30"/>
        </w:rPr>
        <w:t>咨询电话：4007001200（免长途，只收市话费）</w:t>
      </w:r>
    </w:p>
    <w:p>
      <w:pPr>
        <w:rPr>
          <w:rFonts w:ascii="仿宋_GB2312" w:eastAsia="仿宋_GB2312"/>
          <w:sz w:val="30"/>
          <w:szCs w:val="30"/>
        </w:rPr>
      </w:pPr>
      <w:r>
        <w:rPr>
          <w:rFonts w:hint="eastAsia" w:ascii="仿宋_GB2312" w:eastAsia="仿宋_GB2312"/>
          <w:sz w:val="30"/>
          <w:szCs w:val="30"/>
        </w:rPr>
        <w:t>传真：021-69768028</w:t>
      </w:r>
    </w:p>
    <w:p>
      <w:pPr>
        <w:rPr>
          <w:rFonts w:ascii="仿宋_GB2312" w:eastAsia="仿宋_GB2312"/>
          <w:sz w:val="30"/>
          <w:szCs w:val="30"/>
        </w:rPr>
      </w:pPr>
      <w:r>
        <w:rPr>
          <w:rFonts w:ascii="仿宋_GB2312" w:eastAsia="仿宋_GB2312"/>
          <w:sz w:val="30"/>
          <w:szCs w:val="30"/>
        </w:rPr>
        <w:t>E-mail: elearn@snai.edu</w:t>
      </w:r>
    </w:p>
    <w:p>
      <w:pPr>
        <w:spacing w:line="600" w:lineRule="exact"/>
        <w:jc w:val="center"/>
        <w:rPr>
          <w:rFonts w:ascii="宋体" w:hAnsi="宋体" w:eastAsia="宋体" w:cs="Times New Roman"/>
          <w:b/>
          <w:sz w:val="36"/>
          <w:szCs w:val="36"/>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4"/>
                </w:sdtPr>
                <w:sdtContent>
                  <w:p>
                    <w:pPr>
                      <w:pStyle w:val="3"/>
                      <w:jc w:val="center"/>
                    </w:pPr>
                    <w:r>
                      <w:fldChar w:fldCharType="begin"/>
                    </w:r>
                    <w:r>
                      <w:instrText xml:space="preserve"> PAGE   \* MERGEFORMAT </w:instrText>
                    </w:r>
                    <w:r>
                      <w:fldChar w:fldCharType="separate"/>
                    </w:r>
                    <w:r>
                      <w:rPr>
                        <w:lang w:val="zh-CN"/>
                      </w:rPr>
                      <w:t>22</w:t>
                    </w:r>
                    <w:r>
                      <w:rPr>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66"/>
    <w:rsid w:val="003561E3"/>
    <w:rsid w:val="00360E66"/>
    <w:rsid w:val="004F2806"/>
    <w:rsid w:val="00657D31"/>
    <w:rsid w:val="007159DB"/>
    <w:rsid w:val="007F42EF"/>
    <w:rsid w:val="0089154E"/>
    <w:rsid w:val="00B73B3D"/>
    <w:rsid w:val="00BB1C31"/>
    <w:rsid w:val="00D30810"/>
    <w:rsid w:val="00DD125F"/>
    <w:rsid w:val="00FE5A74"/>
    <w:rsid w:val="1468341C"/>
    <w:rsid w:val="2BFF0C9A"/>
    <w:rsid w:val="2F1F40BB"/>
    <w:rsid w:val="32D1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979</Words>
  <Characters>5586</Characters>
  <Lines>46</Lines>
  <Paragraphs>13</Paragraphs>
  <ScaleCrop>false</ScaleCrop>
  <LinksUpToDate>false</LinksUpToDate>
  <CharactersWithSpaces>6552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2016-04-27T06:34:00Z</dcterms:created>
  <dc:creator>hp</dc:creator>
  <cp:lastModifiedBy>hp</cp:lastModifiedBy>
  <dcterms:modified xsi:type="dcterms:W3CDTF">2017-04-24T08:25:57Z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