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15D9E" w14:textId="77777777" w:rsidR="00A918F6" w:rsidRDefault="00A918F6" w:rsidP="0099629D">
      <w:pPr>
        <w:pStyle w:val="2"/>
        <w:jc w:val="center"/>
      </w:pPr>
      <w:r>
        <w:rPr>
          <w:rFonts w:hint="eastAsia"/>
        </w:rPr>
        <w:t>非执业会员继续教育网络培训相关说明</w:t>
      </w:r>
    </w:p>
    <w:p w14:paraId="17A12A67" w14:textId="77777777" w:rsidR="00A918F6" w:rsidRDefault="00A918F6" w:rsidP="00A918F6">
      <w:pPr>
        <w:pStyle w:val="a3"/>
        <w:widowControl/>
        <w:numPr>
          <w:ilvl w:val="0"/>
          <w:numId w:val="6"/>
        </w:numPr>
        <w:wordWrap w:val="0"/>
        <w:snapToGrid w:val="0"/>
        <w:spacing w:beforeAutospacing="0" w:afterAutospacing="0" w:line="288" w:lineRule="auto"/>
        <w:ind w:left="0" w:firstLine="426"/>
        <w:rPr>
          <w:rFonts w:ascii="微软雅黑" w:eastAsia="微软雅黑" w:hAnsi="微软雅黑" w:cs="微软雅黑"/>
          <w:bCs/>
          <w:color w:val="333333"/>
          <w:sz w:val="21"/>
          <w:szCs w:val="21"/>
        </w:rPr>
      </w:pPr>
      <w:r w:rsidRPr="00A918F6"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根据《中国注册会计师协会非执业会员登记办法》、《中国注册会计师协会非执业会员继续教育暂行办法》规定，非执业会员每年须通过2</w:t>
      </w:r>
      <w:r w:rsidRPr="00A918F6">
        <w:rPr>
          <w:rFonts w:ascii="微软雅黑" w:eastAsia="微软雅黑" w:hAnsi="微软雅黑" w:cs="微软雅黑"/>
          <w:bCs/>
          <w:color w:val="333333"/>
          <w:sz w:val="21"/>
          <w:szCs w:val="21"/>
        </w:rPr>
        <w:t>4</w:t>
      </w:r>
      <w:r w:rsidRPr="00A918F6"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学时的继续教育方可参加下一年度的资格检查；</w:t>
      </w:r>
    </w:p>
    <w:p w14:paraId="1CE46725" w14:textId="77777777" w:rsidR="00A918F6" w:rsidRDefault="00A918F6" w:rsidP="00A918F6">
      <w:pPr>
        <w:pStyle w:val="a3"/>
        <w:widowControl/>
        <w:numPr>
          <w:ilvl w:val="0"/>
          <w:numId w:val="6"/>
        </w:numPr>
        <w:wordWrap w:val="0"/>
        <w:snapToGrid w:val="0"/>
        <w:spacing w:beforeAutospacing="0" w:afterAutospacing="0" w:line="288" w:lineRule="auto"/>
        <w:ind w:left="0" w:firstLine="426"/>
        <w:rPr>
          <w:rFonts w:ascii="微软雅黑" w:eastAsia="微软雅黑" w:hAnsi="微软雅黑" w:cs="微软雅黑"/>
          <w:bCs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为方便广大非执业会员完成继续教育，上海市注册会计师协会（以下简称协会）从2</w:t>
      </w:r>
      <w:r>
        <w:rPr>
          <w:rFonts w:ascii="微软雅黑" w:eastAsia="微软雅黑" w:hAnsi="微软雅黑" w:cs="微软雅黑"/>
          <w:bCs/>
          <w:color w:val="333333"/>
          <w:sz w:val="21"/>
          <w:szCs w:val="21"/>
        </w:rPr>
        <w:t>011</w:t>
      </w:r>
      <w:r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年起全面实行网络教育；</w:t>
      </w:r>
    </w:p>
    <w:p w14:paraId="0155B2FD" w14:textId="77777777" w:rsidR="00A918F6" w:rsidRDefault="00A918F6" w:rsidP="00A918F6">
      <w:pPr>
        <w:pStyle w:val="a3"/>
        <w:widowControl/>
        <w:numPr>
          <w:ilvl w:val="0"/>
          <w:numId w:val="6"/>
        </w:numPr>
        <w:wordWrap w:val="0"/>
        <w:snapToGrid w:val="0"/>
        <w:spacing w:beforeAutospacing="0" w:afterAutospacing="0" w:line="288" w:lineRule="auto"/>
        <w:ind w:left="0" w:firstLine="426"/>
        <w:rPr>
          <w:rFonts w:ascii="微软雅黑" w:eastAsia="微软雅黑" w:hAnsi="微软雅黑" w:cs="微软雅黑"/>
          <w:bCs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非执业会员参加网络教育可以登录上海国家会计学院远程教育网</w:t>
      </w:r>
      <w:r w:rsidR="004413F3"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培训</w:t>
      </w:r>
      <w:r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首页</w:t>
      </w:r>
      <w:r w:rsidRPr="004413F3">
        <w:rPr>
          <w:rFonts w:ascii="微软雅黑" w:eastAsia="微软雅黑" w:hAnsi="微软雅黑" w:cs="微软雅黑"/>
          <w:bCs/>
          <w:sz w:val="21"/>
          <w:szCs w:val="21"/>
        </w:rPr>
        <w:t>http://</w:t>
      </w:r>
      <w:r w:rsidR="004413F3" w:rsidRPr="004413F3">
        <w:rPr>
          <w:rFonts w:ascii="微软雅黑" w:eastAsia="微软雅黑" w:hAnsi="微软雅黑" w:cs="微软雅黑"/>
          <w:bCs/>
          <w:sz w:val="21"/>
          <w:szCs w:val="21"/>
        </w:rPr>
        <w:t>cpashanghai2.</w:t>
      </w:r>
      <w:r w:rsidRPr="004413F3">
        <w:rPr>
          <w:rFonts w:ascii="微软雅黑" w:eastAsia="微软雅黑" w:hAnsi="微软雅黑" w:cs="微软雅黑"/>
          <w:bCs/>
          <w:sz w:val="21"/>
          <w:szCs w:val="21"/>
        </w:rPr>
        <w:t>ce.esnai.net/</w:t>
      </w:r>
      <w:r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（</w:t>
      </w:r>
      <w:r w:rsidR="004413F3"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详见</w:t>
      </w:r>
      <w:r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网络教育使用流程）</w:t>
      </w:r>
      <w:r w:rsidR="00E14AC2"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。</w:t>
      </w:r>
    </w:p>
    <w:p w14:paraId="4FC03E65" w14:textId="77777777" w:rsidR="00A918F6" w:rsidRPr="00A918F6" w:rsidRDefault="00A918F6" w:rsidP="00A918F6">
      <w:pPr>
        <w:pStyle w:val="2"/>
        <w:jc w:val="center"/>
      </w:pPr>
      <w:r>
        <w:rPr>
          <w:rFonts w:hint="eastAsia"/>
        </w:rPr>
        <w:t>继续教育网络培训流程</w:t>
      </w:r>
    </w:p>
    <w:p w14:paraId="1D268229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第一步：登录平台</w:t>
      </w:r>
    </w:p>
    <w:p w14:paraId="695C1930" w14:textId="77777777" w:rsidR="009E79F8" w:rsidRPr="00A918F6" w:rsidRDefault="00F21C56" w:rsidP="00A918F6">
      <w:pPr>
        <w:pStyle w:val="a3"/>
        <w:widowControl/>
        <w:numPr>
          <w:ilvl w:val="0"/>
          <w:numId w:val="7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bCs/>
          <w:color w:val="333333"/>
          <w:sz w:val="21"/>
          <w:szCs w:val="21"/>
        </w:rPr>
      </w:pPr>
      <w:r w:rsidRPr="00A918F6"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 输入网址：</w:t>
      </w:r>
      <w:hyperlink r:id="rId8" w:history="1">
        <w:r w:rsidR="004413F3" w:rsidRPr="006522DB">
          <w:rPr>
            <w:rStyle w:val="a5"/>
            <w:rFonts w:ascii="微软雅黑" w:eastAsia="微软雅黑" w:hAnsi="微软雅黑" w:cs="微软雅黑" w:hint="eastAsia"/>
            <w:bCs/>
            <w:sz w:val="21"/>
            <w:szCs w:val="21"/>
          </w:rPr>
          <w:t>ht</w:t>
        </w:r>
        <w:r w:rsidR="004413F3" w:rsidRPr="006522DB">
          <w:rPr>
            <w:rStyle w:val="a5"/>
            <w:rFonts w:ascii="微软雅黑" w:eastAsia="微软雅黑" w:hAnsi="微软雅黑" w:cs="微软雅黑"/>
            <w:bCs/>
            <w:sz w:val="21"/>
            <w:szCs w:val="21"/>
          </w:rPr>
          <w:t>tp://cpashanghai2.ce.esnai.net</w:t>
        </w:r>
      </w:hyperlink>
    </w:p>
    <w:p w14:paraId="0D3F2C6B" w14:textId="77777777" w:rsidR="009E79F8" w:rsidRPr="00A918F6" w:rsidRDefault="00F21C56" w:rsidP="00A918F6">
      <w:pPr>
        <w:pStyle w:val="a3"/>
        <w:widowControl/>
        <w:numPr>
          <w:ilvl w:val="0"/>
          <w:numId w:val="7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bCs/>
          <w:color w:val="333333"/>
          <w:sz w:val="21"/>
          <w:szCs w:val="21"/>
        </w:rPr>
      </w:pPr>
      <w:r w:rsidRPr="00A918F6"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  <w:t>登录培训</w:t>
      </w:r>
    </w:p>
    <w:p w14:paraId="4B97C083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在“学员登录”区，输入姓名、非执业证书号、验证码登录。</w:t>
      </w:r>
    </w:p>
    <w:p w14:paraId="17C151E9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58ABFD07" wp14:editId="5916E004">
            <wp:extent cx="2705100" cy="1898650"/>
            <wp:effectExtent l="0" t="0" r="0" b="635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7015D5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3、 补充个人信息</w:t>
      </w:r>
    </w:p>
    <w:p w14:paraId="5D028370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登录后，在弹出的“补充修改个人信息”窗口，填写您的准确信息（首次登陆的学员需补充个人信息）。</w:t>
      </w:r>
    </w:p>
    <w:p w14:paraId="447951A7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lastRenderedPageBreak/>
        <w:drawing>
          <wp:inline distT="0" distB="0" distL="114300" distR="114300" wp14:anchorId="5D9CD790" wp14:editId="65068E8B">
            <wp:extent cx="5276850" cy="2447925"/>
            <wp:effectExtent l="0" t="0" r="6350" b="3175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3E5812" w14:textId="4855DC6A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第二步：选课</w:t>
      </w:r>
    </w:p>
    <w:p w14:paraId="124FCADE" w14:textId="77777777" w:rsidR="0061356A" w:rsidRDefault="0061356A" w:rsidP="0061356A">
      <w:pPr>
        <w:pStyle w:val="a3"/>
        <w:widowControl/>
        <w:wordWrap w:val="0"/>
        <w:snapToGrid w:val="0"/>
        <w:spacing w:beforeAutospacing="0" w:afterAutospacing="0" w:line="288" w:lineRule="auto"/>
        <w:ind w:firstLineChars="202" w:firstLine="424"/>
        <w:rPr>
          <w:rFonts w:ascii="微软雅黑" w:eastAsia="微软雅黑" w:hAnsi="微软雅黑" w:cs="微软雅黑" w:hint="eastAsia"/>
          <w:color w:val="333333"/>
          <w:sz w:val="21"/>
          <w:szCs w:val="21"/>
        </w:rPr>
      </w:pPr>
    </w:p>
    <w:p w14:paraId="5BC593A9" w14:textId="77777777" w:rsidR="009E79F8" w:rsidRDefault="00F21C56">
      <w:pPr>
        <w:pStyle w:val="a3"/>
        <w:widowControl/>
        <w:numPr>
          <w:ilvl w:val="0"/>
          <w:numId w:val="1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请您选择“20</w:t>
      </w:r>
      <w:r w:rsidR="00A918F6">
        <w:rPr>
          <w:rFonts w:ascii="微软雅黑" w:eastAsia="微软雅黑" w:hAnsi="微软雅黑" w:cs="微软雅黑" w:hint="eastAsia"/>
          <w:color w:val="333333"/>
          <w:sz w:val="21"/>
          <w:szCs w:val="21"/>
        </w:rPr>
        <w:t>XX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年度非执业继续教育”，并详细阅读“培训要求”。</w:t>
      </w:r>
    </w:p>
    <w:p w14:paraId="45BEB49A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47976587" wp14:editId="161ECFA0">
            <wp:extent cx="5269089" cy="1896110"/>
            <wp:effectExtent l="0" t="0" r="8255" b="889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089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235B9A" w14:textId="77777777" w:rsidR="009E79F8" w:rsidRDefault="009E79F8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277DECC0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2、 在线选课</w:t>
      </w:r>
    </w:p>
    <w:p w14:paraId="24F0585E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（1）选课：点击“选课”后即可看到“进入学习”按钮。</w:t>
      </w:r>
    </w:p>
    <w:p w14:paraId="337AE717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（2）取消选课：未听课前，可点击“取消”取消选课。</w:t>
      </w:r>
    </w:p>
    <w:p w14:paraId="0D002823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（3）试听：点击“试听”可先试听课程。</w:t>
      </w:r>
    </w:p>
    <w:p w14:paraId="5A1084D4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ind w:firstLine="248"/>
        <w:rPr>
          <w:rFonts w:ascii="微软雅黑" w:eastAsia="微软雅黑" w:hAnsi="微软雅黑" w:cs="微软雅黑"/>
          <w:color w:val="333333"/>
          <w:sz w:val="21"/>
          <w:szCs w:val="21"/>
        </w:rPr>
      </w:pPr>
      <w:r w:rsidRPr="00E73B6B">
        <w:rPr>
          <w:rFonts w:ascii="微软雅黑" w:eastAsia="微软雅黑" w:hAnsi="微软雅黑" w:cs="微软雅黑" w:hint="eastAsia"/>
          <w:color w:val="333333"/>
          <w:sz w:val="21"/>
          <w:szCs w:val="21"/>
        </w:rPr>
        <w:t>请注意：课程分必修课、选修课，必修课至少需要完成24学时，选修课自愿学习（不计时、不考试）。</w:t>
      </w:r>
    </w:p>
    <w:p w14:paraId="46C4A91C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ind w:firstLine="248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 wp14:anchorId="370FEFF6" wp14:editId="79758B1A">
            <wp:extent cx="5271770" cy="2162175"/>
            <wp:effectExtent l="0" t="0" r="11430" b="952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9866D3" w14:textId="77777777" w:rsidR="009E79F8" w:rsidRDefault="009E79F8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4EAD6359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第三步：在线学习，完成学时</w:t>
      </w:r>
    </w:p>
    <w:p w14:paraId="6CC93E19" w14:textId="77777777" w:rsidR="009E79F8" w:rsidRDefault="00F21C56">
      <w:pPr>
        <w:pStyle w:val="a3"/>
        <w:widowControl/>
        <w:numPr>
          <w:ilvl w:val="0"/>
          <w:numId w:val="2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在课程列表中点“进入学习”，进入课程学习中心。</w:t>
      </w:r>
    </w:p>
    <w:p w14:paraId="7F60388B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2D666360" wp14:editId="4BFF2853">
            <wp:extent cx="5271135" cy="836930"/>
            <wp:effectExtent l="0" t="0" r="12065" b="127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662941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2、 学习中心功能</w:t>
      </w:r>
    </w:p>
    <w:p w14:paraId="4F4966B9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（1）课程学习：点击视频链接在线听课，系统将记录听课时长作为已完成学时。</w:t>
      </w:r>
    </w:p>
    <w:p w14:paraId="4DF6A551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16BAD8D0" wp14:editId="191C632E">
            <wp:extent cx="4963160" cy="4370070"/>
            <wp:effectExtent l="0" t="0" r="2540" b="1143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30F3AA" w14:textId="77777777" w:rsidR="009E79F8" w:rsidRDefault="00F21C56">
      <w:pPr>
        <w:pStyle w:val="a3"/>
        <w:widowControl/>
        <w:numPr>
          <w:ilvl w:val="0"/>
          <w:numId w:val="3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课后练习：必修课程配有课后练习习题。</w:t>
      </w:r>
    </w:p>
    <w:p w14:paraId="13006F11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7115975A" wp14:editId="645C4803">
            <wp:extent cx="5267960" cy="957580"/>
            <wp:effectExtent l="0" t="0" r="2540" b="762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B19C65" w14:textId="77777777" w:rsidR="009E79F8" w:rsidRDefault="00F21C56">
      <w:pPr>
        <w:pStyle w:val="a3"/>
        <w:widowControl/>
        <w:numPr>
          <w:ilvl w:val="0"/>
          <w:numId w:val="3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资料下载：可下载课程讲义，进行打印。</w:t>
      </w:r>
    </w:p>
    <w:p w14:paraId="42C99187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ind w:left="62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43437FB8" wp14:editId="0F878D83">
            <wp:extent cx="5273675" cy="2021840"/>
            <wp:effectExtent l="0" t="0" r="9525" b="1016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E0C2C8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（4）答疑中心：培训相关提问24小时内答复。</w:t>
      </w:r>
    </w:p>
    <w:p w14:paraId="4E9D4B39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drawing>
          <wp:inline distT="0" distB="0" distL="114300" distR="114300" wp14:anchorId="5E4CA1FF" wp14:editId="3CEF9173">
            <wp:extent cx="3981450" cy="3667125"/>
            <wp:effectExtent l="0" t="0" r="6350" b="317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5B9803" w14:textId="77777777" w:rsidR="009E79F8" w:rsidRDefault="00F21C56">
      <w:pPr>
        <w:pStyle w:val="a3"/>
        <w:widowControl/>
        <w:numPr>
          <w:ilvl w:val="0"/>
          <w:numId w:val="2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达到培训规定的最低学时后，方可进入考试环节，学时情况请参看“培训报告”。</w:t>
      </w:r>
    </w:p>
    <w:p w14:paraId="6BE35772" w14:textId="77777777" w:rsidR="00B80BFB" w:rsidRDefault="00B80BFB">
      <w:pPr>
        <w:pStyle w:val="a3"/>
        <w:widowControl/>
        <w:wordWrap w:val="0"/>
        <w:snapToGrid w:val="0"/>
        <w:spacing w:beforeAutospacing="0" w:afterAutospacing="0" w:line="288" w:lineRule="auto"/>
        <w:rPr>
          <w:noProof/>
        </w:rPr>
      </w:pPr>
    </w:p>
    <w:p w14:paraId="0B9E9EA3" w14:textId="77777777" w:rsidR="009E79F8" w:rsidRDefault="00B80BFB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DABAC23" wp14:editId="4DF79FDE">
            <wp:extent cx="5151120" cy="1836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996" b="2231"/>
                    <a:stretch/>
                  </pic:blipFill>
                  <pic:spPr bwMode="auto">
                    <a:xfrm>
                      <a:off x="0" y="0"/>
                      <a:ext cx="5182644" cy="1847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88E2F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第四步：参加考试</w:t>
      </w:r>
    </w:p>
    <w:p w14:paraId="17B3790B" w14:textId="77777777" w:rsidR="009E79F8" w:rsidRDefault="00F21C56">
      <w:pPr>
        <w:pStyle w:val="a3"/>
        <w:widowControl/>
        <w:numPr>
          <w:ilvl w:val="0"/>
          <w:numId w:val="4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达到规定学时后，点击“进入考试”按钮，开始考试。</w:t>
      </w:r>
    </w:p>
    <w:p w14:paraId="5B3757E9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2FBCE9BB" wp14:editId="7D5F7BDA">
            <wp:extent cx="5270500" cy="1887086"/>
            <wp:effectExtent l="0" t="0" r="6350" b="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708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347955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2、 考试为客观题，成绩考后即时显示，亦可在“培训报告”查询。</w:t>
      </w:r>
    </w:p>
    <w:p w14:paraId="791F9D19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3、 共有3次考试机会，最终成绩取最高得分。</w:t>
      </w:r>
    </w:p>
    <w:p w14:paraId="4CDAC596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第五步：打印合格证书，按注协要求参加年检（详见上海注协官网—会员管理—年检公告）</w:t>
      </w:r>
    </w:p>
    <w:p w14:paraId="7FDAEEEB" w14:textId="77777777" w:rsidR="009E79F8" w:rsidRDefault="00F21C56">
      <w:pPr>
        <w:pStyle w:val="a3"/>
        <w:widowControl/>
        <w:numPr>
          <w:ilvl w:val="0"/>
          <w:numId w:val="5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考试合格后，可点击“打印合格证书”的按钮。</w:t>
      </w:r>
    </w:p>
    <w:p w14:paraId="0D0CAF00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 wp14:anchorId="531F60FE" wp14:editId="75D8C16B">
            <wp:extent cx="5267888" cy="1876625"/>
            <wp:effectExtent l="0" t="0" r="9525" b="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888" cy="18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A24FC4" w14:textId="77777777" w:rsidR="00B80BFB" w:rsidRDefault="00B80BFB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7FDAF7F4" w14:textId="6D8B2AAF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2、考试合格的学员可点击链接</w:t>
      </w:r>
      <w:r w:rsidR="0032696D">
        <w:rPr>
          <w:rFonts w:ascii="微软雅黑" w:eastAsia="微软雅黑" w:hAnsi="微软雅黑" w:cs="微软雅黑" w:hint="eastAsia"/>
          <w:color w:val="333333"/>
          <w:sz w:val="21"/>
          <w:szCs w:val="21"/>
        </w:rPr>
        <w:t>（</w:t>
      </w:r>
      <w:hyperlink r:id="rId21" w:history="1">
        <w:r w:rsidR="0032696D">
          <w:rPr>
            <w:rStyle w:val="a5"/>
            <w:rFonts w:ascii="微软雅黑" w:eastAsia="微软雅黑" w:hAnsi="微软雅黑" w:cs="微软雅黑" w:hint="eastAsia"/>
            <w:color w:val="333333"/>
            <w:sz w:val="21"/>
            <w:szCs w:val="21"/>
            <w:u w:val="none"/>
          </w:rPr>
          <w:t>http://www.shcpa.org.cn/</w:t>
        </w:r>
      </w:hyperlink>
      <w:r w:rsidR="0032696D">
        <w:rPr>
          <w:rFonts w:ascii="微软雅黑" w:eastAsia="微软雅黑" w:hAnsi="微软雅黑" w:cs="微软雅黑" w:hint="eastAsia"/>
          <w:color w:val="333333"/>
          <w:sz w:val="21"/>
          <w:szCs w:val="21"/>
        </w:rPr>
        <w:t>）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直接进入网上年检平台进行年检。</w:t>
      </w:r>
      <w:r w:rsidR="0032696D" w:rsidRPr="0032696D">
        <w:rPr>
          <w:rFonts w:ascii="微软雅黑" w:eastAsia="微软雅黑" w:hAnsi="微软雅黑" w:cs="微软雅黑" w:hint="eastAsia"/>
          <w:color w:val="333333"/>
          <w:sz w:val="21"/>
          <w:szCs w:val="21"/>
        </w:rPr>
        <w:t>（20</w:t>
      </w:r>
      <w:r w:rsidR="00E73B6B">
        <w:rPr>
          <w:rFonts w:ascii="微软雅黑" w:eastAsia="微软雅黑" w:hAnsi="微软雅黑" w:cs="微软雅黑"/>
          <w:color w:val="333333"/>
          <w:sz w:val="21"/>
          <w:szCs w:val="21"/>
        </w:rPr>
        <w:t>20</w:t>
      </w:r>
      <w:r w:rsidR="0032696D" w:rsidRPr="0032696D">
        <w:rPr>
          <w:rFonts w:ascii="微软雅黑" w:eastAsia="微软雅黑" w:hAnsi="微软雅黑" w:cs="微软雅黑" w:hint="eastAsia"/>
          <w:color w:val="333333"/>
          <w:sz w:val="21"/>
          <w:szCs w:val="21"/>
        </w:rPr>
        <w:t>年度继续教育用于20</w:t>
      </w:r>
      <w:r w:rsidR="00B80BFB">
        <w:rPr>
          <w:rFonts w:ascii="微软雅黑" w:eastAsia="微软雅黑" w:hAnsi="微软雅黑" w:cs="微软雅黑"/>
          <w:color w:val="333333"/>
          <w:sz w:val="21"/>
          <w:szCs w:val="21"/>
        </w:rPr>
        <w:t>2</w:t>
      </w:r>
      <w:r w:rsidR="00E73B6B">
        <w:rPr>
          <w:rFonts w:ascii="微软雅黑" w:eastAsia="微软雅黑" w:hAnsi="微软雅黑" w:cs="微软雅黑"/>
          <w:color w:val="333333"/>
          <w:sz w:val="21"/>
          <w:szCs w:val="21"/>
        </w:rPr>
        <w:t>1</w:t>
      </w:r>
      <w:r w:rsidR="0032696D" w:rsidRPr="0032696D">
        <w:rPr>
          <w:rFonts w:ascii="微软雅黑" w:eastAsia="微软雅黑" w:hAnsi="微软雅黑" w:cs="微软雅黑" w:hint="eastAsia"/>
          <w:color w:val="333333"/>
          <w:sz w:val="21"/>
          <w:szCs w:val="21"/>
        </w:rPr>
        <w:t>年年检；20</w:t>
      </w:r>
      <w:r w:rsidR="00B80BFB">
        <w:rPr>
          <w:rFonts w:ascii="微软雅黑" w:eastAsia="微软雅黑" w:hAnsi="微软雅黑" w:cs="微软雅黑"/>
          <w:color w:val="333333"/>
          <w:sz w:val="21"/>
          <w:szCs w:val="21"/>
        </w:rPr>
        <w:t>2</w:t>
      </w:r>
      <w:r w:rsidR="00E73B6B">
        <w:rPr>
          <w:rFonts w:ascii="微软雅黑" w:eastAsia="微软雅黑" w:hAnsi="微软雅黑" w:cs="微软雅黑"/>
          <w:color w:val="333333"/>
          <w:sz w:val="21"/>
          <w:szCs w:val="21"/>
        </w:rPr>
        <w:t>1</w:t>
      </w:r>
      <w:r w:rsidR="0032696D" w:rsidRPr="0032696D">
        <w:rPr>
          <w:rFonts w:ascii="微软雅黑" w:eastAsia="微软雅黑" w:hAnsi="微软雅黑" w:cs="微软雅黑" w:hint="eastAsia"/>
          <w:color w:val="333333"/>
          <w:sz w:val="21"/>
          <w:szCs w:val="21"/>
        </w:rPr>
        <w:t>年度继续教育用于202</w:t>
      </w:r>
      <w:r w:rsidR="00E73B6B">
        <w:rPr>
          <w:rFonts w:ascii="微软雅黑" w:eastAsia="微软雅黑" w:hAnsi="微软雅黑" w:cs="微软雅黑"/>
          <w:color w:val="333333"/>
          <w:sz w:val="21"/>
          <w:szCs w:val="21"/>
        </w:rPr>
        <w:t>2</w:t>
      </w:r>
      <w:r w:rsidR="0032696D" w:rsidRPr="0032696D">
        <w:rPr>
          <w:rFonts w:ascii="微软雅黑" w:eastAsia="微软雅黑" w:hAnsi="微软雅黑" w:cs="微软雅黑" w:hint="eastAsia"/>
          <w:color w:val="333333"/>
          <w:sz w:val="21"/>
          <w:szCs w:val="21"/>
        </w:rPr>
        <w:t>年年检）</w:t>
      </w:r>
    </w:p>
    <w:p w14:paraId="0E673F1C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lastRenderedPageBreak/>
        <w:drawing>
          <wp:inline distT="0" distB="0" distL="114300" distR="114300" wp14:anchorId="17811B36" wp14:editId="4EFDAB7A">
            <wp:extent cx="4752975" cy="2933700"/>
            <wp:effectExtent l="0" t="0" r="9525" b="0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ECC534" w14:textId="77777777" w:rsidR="00A14099" w:rsidRDefault="00A14099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7B561FEC" w14:textId="77777777" w:rsidR="00A14099" w:rsidRDefault="00A14099">
      <w:pPr>
        <w:pStyle w:val="a3"/>
        <w:widowControl/>
        <w:wordWrap w:val="0"/>
        <w:snapToGrid w:val="0"/>
        <w:spacing w:beforeAutospacing="0" w:afterAutospacing="0" w:line="288" w:lineRule="auto"/>
        <w:rPr>
          <w:rStyle w:val="a4"/>
          <w:rFonts w:ascii="微软雅黑" w:eastAsia="微软雅黑" w:hAnsi="微软雅黑" w:cs="微软雅黑"/>
          <w:color w:val="333333"/>
          <w:sz w:val="21"/>
          <w:szCs w:val="21"/>
        </w:rPr>
      </w:pPr>
    </w:p>
    <w:p w14:paraId="32139E3E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备注：教务咨询电话及工作时间</w:t>
      </w:r>
    </w:p>
    <w:p w14:paraId="35AA6D97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咨询电话：400-900-5955（免长途，只收市话费）</w:t>
      </w:r>
    </w:p>
    <w:p w14:paraId="663B151E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咨询时间：</w:t>
      </w:r>
      <w:r w:rsidR="00E04AD4"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7*</w:t>
      </w: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24小时客服（</w:t>
      </w:r>
      <w:r w:rsidR="00D712B9"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节假日</w:t>
      </w: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不休）</w:t>
      </w:r>
    </w:p>
    <w:p w14:paraId="03A602E2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传真：021-69768028</w:t>
      </w:r>
    </w:p>
    <w:p w14:paraId="12C9498F" w14:textId="77777777" w:rsidR="009E79F8" w:rsidRDefault="00F21C5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Email: elearn@snai.edu</w:t>
      </w:r>
    </w:p>
    <w:p w14:paraId="4F17A1EE" w14:textId="77777777" w:rsidR="009E79F8" w:rsidRDefault="009E79F8">
      <w:pPr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sectPr w:rsidR="009E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001A8" w14:textId="77777777" w:rsidR="00161DC0" w:rsidRDefault="00161DC0" w:rsidP="004E6DD3">
      <w:r>
        <w:separator/>
      </w:r>
    </w:p>
  </w:endnote>
  <w:endnote w:type="continuationSeparator" w:id="0">
    <w:p w14:paraId="0CA7A061" w14:textId="77777777" w:rsidR="00161DC0" w:rsidRDefault="00161DC0" w:rsidP="004E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6C6C1" w14:textId="77777777" w:rsidR="00161DC0" w:rsidRDefault="00161DC0" w:rsidP="004E6DD3">
      <w:r>
        <w:separator/>
      </w:r>
    </w:p>
  </w:footnote>
  <w:footnote w:type="continuationSeparator" w:id="0">
    <w:p w14:paraId="798AA85E" w14:textId="77777777" w:rsidR="00161DC0" w:rsidRDefault="00161DC0" w:rsidP="004E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60F774"/>
    <w:multiLevelType w:val="singleLevel"/>
    <w:tmpl w:val="A060F77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2E60E6F"/>
    <w:multiLevelType w:val="singleLevel"/>
    <w:tmpl w:val="E2E60E6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3E230F0"/>
    <w:multiLevelType w:val="hybridMultilevel"/>
    <w:tmpl w:val="F0ACB148"/>
    <w:lvl w:ilvl="0" w:tplc="0CC66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3B58BA"/>
    <w:multiLevelType w:val="singleLevel"/>
    <w:tmpl w:val="1F3B58BA"/>
    <w:lvl w:ilvl="0">
      <w:start w:val="2"/>
      <w:numFmt w:val="decimal"/>
      <w:suff w:val="nothing"/>
      <w:lvlText w:val="（%1）"/>
      <w:lvlJc w:val="left"/>
      <w:pPr>
        <w:ind w:left="62" w:firstLine="0"/>
      </w:pPr>
    </w:lvl>
  </w:abstractNum>
  <w:abstractNum w:abstractNumId="4" w15:restartNumberingAfterBreak="0">
    <w:nsid w:val="2FF5102E"/>
    <w:multiLevelType w:val="hybridMultilevel"/>
    <w:tmpl w:val="F0ACB148"/>
    <w:lvl w:ilvl="0" w:tplc="0CC66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0D430F"/>
    <w:multiLevelType w:val="singleLevel"/>
    <w:tmpl w:val="330D430F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5221690"/>
    <w:multiLevelType w:val="singleLevel"/>
    <w:tmpl w:val="652216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F8"/>
    <w:rsid w:val="000B5051"/>
    <w:rsid w:val="00161DC0"/>
    <w:rsid w:val="0032696D"/>
    <w:rsid w:val="00361936"/>
    <w:rsid w:val="004413F3"/>
    <w:rsid w:val="004E6DD3"/>
    <w:rsid w:val="00602D27"/>
    <w:rsid w:val="0061356A"/>
    <w:rsid w:val="00994645"/>
    <w:rsid w:val="00995EC1"/>
    <w:rsid w:val="0099629D"/>
    <w:rsid w:val="009E79F8"/>
    <w:rsid w:val="00A14099"/>
    <w:rsid w:val="00A918F6"/>
    <w:rsid w:val="00B80BFB"/>
    <w:rsid w:val="00BE09AA"/>
    <w:rsid w:val="00D712B9"/>
    <w:rsid w:val="00D8474E"/>
    <w:rsid w:val="00E04AD4"/>
    <w:rsid w:val="00E14AC2"/>
    <w:rsid w:val="00E73B6B"/>
    <w:rsid w:val="00F21C56"/>
    <w:rsid w:val="13CC48F0"/>
    <w:rsid w:val="21C42DFE"/>
    <w:rsid w:val="298133A1"/>
    <w:rsid w:val="7FD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8A526"/>
  <w15:docId w15:val="{DF4C0C51-3373-4ADF-9B85-B055B1A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918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4E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E6D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E6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E6DD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918F6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rsid w:val="00A918F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ashanghai2.ce.esnai.ne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shcpa.org.cn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Yaxing</dc:creator>
  <cp:lastModifiedBy>光</cp:lastModifiedBy>
  <cp:revision>9</cp:revision>
  <dcterms:created xsi:type="dcterms:W3CDTF">2020-04-07T02:31:00Z</dcterms:created>
  <dcterms:modified xsi:type="dcterms:W3CDTF">2021-06-24T07:53:00Z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