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3B" w:rsidRDefault="001C1C3B" w:rsidP="001C1C3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关于《上海市优化营商环境条例修正案(草案)》征求意见有关事项的说明</w:t>
      </w:r>
    </w:p>
    <w:bookmarkEnd w:id="0"/>
    <w:p w:rsidR="001C1C3B" w:rsidRDefault="001C1C3B" w:rsidP="001C1C3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1C1C3B" w:rsidRDefault="001C1C3B" w:rsidP="001C1C3B">
      <w:pPr>
        <w:spacing w:line="600" w:lineRule="exact"/>
        <w:ind w:firstLineChars="200" w:firstLine="640"/>
        <w:rPr>
          <w:rFonts w:hAnsi="仿宋_GB2312" w:cs="仿宋_GB2312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一、修改背景</w:t>
      </w:r>
    </w:p>
    <w:p w:rsidR="001C1C3B" w:rsidRDefault="001C1C3B" w:rsidP="001C1C3B">
      <w:pPr>
        <w:tabs>
          <w:tab w:val="left" w:pos="4834"/>
        </w:tabs>
        <w:adjustRightInd w:val="0"/>
        <w:snapToGrid w:val="0"/>
        <w:spacing w:line="560" w:lineRule="exact"/>
        <w:ind w:firstLine="638"/>
        <w:rPr>
          <w:rFonts w:ascii="黑体" w:eastAsia="黑体" w:hAnsi="黑体" w:hint="eastAsia"/>
          <w:szCs w:val="32"/>
        </w:rPr>
      </w:pPr>
      <w:r>
        <w:rPr>
          <w:rFonts w:hint="eastAsia"/>
          <w:bCs/>
          <w:szCs w:val="32"/>
        </w:rPr>
        <w:t>率先打造市场化、法治化、国际化一流营商环境，是党中央、国务院交给上海的重要任务。2020年4月，市人大常委会审议通过《上海市优化营商环境条例》（以下简称《条例》），并根据营商环境建设新形势新要求，分别于2021年、2023年、2024年作了修正。《条例》对优化营商环境、激发经营主体活力、推动经济高质量发展起到了重要作用。为</w:t>
      </w:r>
      <w:r>
        <w:rPr>
          <w:rFonts w:ascii="Times New Roman" w:hint="eastAsia"/>
          <w:kern w:val="0"/>
          <w:szCs w:val="32"/>
        </w:rPr>
        <w:t>进一步贯彻</w:t>
      </w:r>
      <w:r>
        <w:rPr>
          <w:rFonts w:hint="eastAsia"/>
          <w:szCs w:val="32"/>
        </w:rPr>
        <w:t>落实国家关于优化营商环境的新要求，</w:t>
      </w:r>
      <w:r>
        <w:rPr>
          <w:rFonts w:hint="eastAsia"/>
          <w:bCs/>
          <w:szCs w:val="32"/>
        </w:rPr>
        <w:t>落实新修改的</w:t>
      </w:r>
      <w:r>
        <w:rPr>
          <w:rFonts w:ascii="Times New Roman" w:hint="eastAsia"/>
          <w:kern w:val="0"/>
          <w:szCs w:val="32"/>
        </w:rPr>
        <w:t>反不正当竞争法等规定，对标世行营商环境新评估体系，</w:t>
      </w:r>
      <w:r>
        <w:rPr>
          <w:rFonts w:hint="eastAsia"/>
          <w:szCs w:val="32"/>
        </w:rPr>
        <w:t>固化本市改革成果和有效经验，积极回应企业关切，</w:t>
      </w:r>
      <w:r>
        <w:rPr>
          <w:rFonts w:ascii="Times New Roman" w:hint="eastAsia"/>
          <w:kern w:val="0"/>
          <w:szCs w:val="32"/>
        </w:rPr>
        <w:t>有必要对《</w:t>
      </w:r>
      <w:r>
        <w:rPr>
          <w:rFonts w:hint="eastAsia"/>
          <w:szCs w:val="32"/>
        </w:rPr>
        <w:t>条例</w:t>
      </w:r>
      <w:r>
        <w:rPr>
          <w:rFonts w:ascii="Times New Roman" w:hint="eastAsia"/>
          <w:kern w:val="0"/>
          <w:szCs w:val="32"/>
        </w:rPr>
        <w:t>》</w:t>
      </w:r>
      <w:r>
        <w:rPr>
          <w:rFonts w:hint="eastAsia"/>
          <w:szCs w:val="32"/>
        </w:rPr>
        <w:t>进行再次修改</w:t>
      </w:r>
      <w:r>
        <w:rPr>
          <w:rFonts w:ascii="Times New Roman" w:hint="eastAsia"/>
          <w:kern w:val="0"/>
          <w:szCs w:val="32"/>
        </w:rPr>
        <w:t>，</w:t>
      </w:r>
      <w:r>
        <w:rPr>
          <w:rFonts w:hint="eastAsia"/>
          <w:szCs w:val="32"/>
        </w:rPr>
        <w:t>为持续优化营商环境提供有力的法治保障。</w:t>
      </w:r>
    </w:p>
    <w:p w:rsidR="001C1C3B" w:rsidRDefault="001C1C3B" w:rsidP="001C1C3B">
      <w:pPr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二、主要内容</w:t>
      </w:r>
    </w:p>
    <w:p w:rsidR="001C1C3B" w:rsidRDefault="001C1C3B" w:rsidP="001C1C3B">
      <w:pPr>
        <w:tabs>
          <w:tab w:val="left" w:pos="4834"/>
        </w:tabs>
        <w:adjustRightInd w:val="0"/>
        <w:snapToGrid w:val="0"/>
        <w:spacing w:line="560" w:lineRule="exact"/>
        <w:ind w:firstLine="638"/>
        <w:rPr>
          <w:rFonts w:hAnsi="黑体" w:hint="eastAsia"/>
          <w:szCs w:val="32"/>
        </w:rPr>
      </w:pPr>
      <w:r>
        <w:rPr>
          <w:rFonts w:hAnsi="黑体" w:hint="eastAsia"/>
          <w:szCs w:val="32"/>
        </w:rPr>
        <w:t>《条例修正案（草案）》共九条，主要内容包括：</w:t>
      </w:r>
    </w:p>
    <w:p w:rsidR="001C1C3B" w:rsidRDefault="001C1C3B" w:rsidP="001C1C3B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hint="eastAsia"/>
          <w:szCs w:val="32"/>
        </w:rPr>
      </w:pPr>
      <w:r>
        <w:rPr>
          <w:rFonts w:ascii="楷体" w:eastAsia="楷体" w:hAnsi="楷体" w:hint="eastAsia"/>
          <w:b/>
          <w:bCs/>
          <w:color w:val="000000"/>
          <w:szCs w:val="32"/>
        </w:rPr>
        <w:t>（一）落实国家优化营商环境新要求。</w:t>
      </w:r>
      <w:r>
        <w:rPr>
          <w:rFonts w:hAnsi="黑体" w:hint="eastAsia"/>
          <w:szCs w:val="32"/>
        </w:rPr>
        <w:t>一是明确不得要求中小企业接受明显不合理的交易条件、拖欠中小企业账款等要求，建立健全多方协同共治机制，强化中小企业合法权益保护。</w:t>
      </w:r>
      <w:r>
        <w:rPr>
          <w:rFonts w:ascii="Times New Roman" w:hint="eastAsia"/>
          <w:szCs w:val="32"/>
        </w:rPr>
        <w:t>二是</w:t>
      </w:r>
      <w:r>
        <w:rPr>
          <w:rFonts w:hAnsi="黑体" w:hint="eastAsia"/>
          <w:szCs w:val="32"/>
        </w:rPr>
        <w:t>规范专项检查行为，政府部门制定专项检查计划时，应当履行相应批准、备案程序，并在一个月内向社会公布。</w:t>
      </w:r>
      <w:r>
        <w:rPr>
          <w:rFonts w:ascii="Times New Roman" w:hAnsi="Times New Roman" w:hint="eastAsia"/>
          <w:szCs w:val="32"/>
        </w:rPr>
        <w:t>三是要求</w:t>
      </w:r>
      <w:r>
        <w:rPr>
          <w:rFonts w:hAnsi="黑体" w:hint="eastAsia"/>
          <w:szCs w:val="32"/>
        </w:rPr>
        <w:t>在起草</w:t>
      </w:r>
      <w:r>
        <w:rPr>
          <w:rFonts w:hint="eastAsia"/>
          <w:szCs w:val="32"/>
        </w:rPr>
        <w:t>相关</w:t>
      </w:r>
      <w:r>
        <w:rPr>
          <w:rFonts w:hint="eastAsia"/>
          <w:bCs/>
          <w:szCs w:val="32"/>
        </w:rPr>
        <w:t>地方性法规、政府规章、规范性文件以及政策措施时，按照规定进行</w:t>
      </w:r>
      <w:r>
        <w:rPr>
          <w:rFonts w:ascii="Times New Roman" w:hAnsi="Times New Roman" w:hint="eastAsia"/>
          <w:szCs w:val="32"/>
        </w:rPr>
        <w:t>宏观政策取向一致性评</w:t>
      </w:r>
      <w:r>
        <w:rPr>
          <w:rFonts w:ascii="Times New Roman" w:hAnsi="Times New Roman" w:hint="eastAsia"/>
          <w:szCs w:val="32"/>
        </w:rPr>
        <w:lastRenderedPageBreak/>
        <w:t>估，</w:t>
      </w:r>
      <w:r>
        <w:rPr>
          <w:rFonts w:hAnsi="黑体" w:hint="eastAsia"/>
          <w:szCs w:val="32"/>
        </w:rPr>
        <w:t>提升政策的一致性、协调性。</w:t>
      </w:r>
      <w:r>
        <w:rPr>
          <w:rFonts w:ascii="Times New Roman" w:hAnsi="Times New Roman" w:hint="eastAsia"/>
          <w:szCs w:val="32"/>
        </w:rPr>
        <w:t>（第一条、第七条、第八条）</w:t>
      </w:r>
    </w:p>
    <w:p w:rsidR="001C1C3B" w:rsidRDefault="001C1C3B" w:rsidP="001C1C3B">
      <w:pPr>
        <w:adjustRightInd w:val="0"/>
        <w:snapToGrid w:val="0"/>
        <w:spacing w:line="560" w:lineRule="exact"/>
        <w:ind w:firstLineChars="200" w:firstLine="643"/>
        <w:rPr>
          <w:rFonts w:ascii="Times New Roman"/>
          <w:b/>
          <w:szCs w:val="32"/>
        </w:rPr>
      </w:pPr>
      <w:r>
        <w:rPr>
          <w:rFonts w:ascii="楷体" w:eastAsia="楷体" w:hAnsi="楷体" w:hint="eastAsia"/>
          <w:b/>
          <w:bCs/>
          <w:color w:val="000000"/>
          <w:szCs w:val="32"/>
        </w:rPr>
        <w:t>（二）入法固化优化营商环境工作举措。</w:t>
      </w:r>
      <w:r>
        <w:rPr>
          <w:rFonts w:ascii="Times New Roman" w:hAnsi="仿宋_GB2312" w:hint="eastAsia"/>
          <w:szCs w:val="32"/>
        </w:rPr>
        <w:t>一是优化惠企政策全流程服务，确保惠企政策精准直达、高效兑付。二是营造清朗的营商网络环境，相关</w:t>
      </w:r>
      <w:r>
        <w:rPr>
          <w:rFonts w:hint="eastAsia"/>
          <w:bCs/>
          <w:szCs w:val="32"/>
        </w:rPr>
        <w:t>部门</w:t>
      </w:r>
      <w:r>
        <w:rPr>
          <w:rFonts w:ascii="Times New Roman" w:hAnsi="仿宋_GB2312" w:hint="eastAsia"/>
          <w:szCs w:val="32"/>
        </w:rPr>
        <w:t>构建协同共治机制，依法惩治造谣、传谣违法行为。三是加强部门协同，依法规制知识产权恶意诉讼、经营主体恶意注销、牟利性职业索赔和职业举报等行为</w:t>
      </w:r>
      <w:r>
        <w:rPr>
          <w:rFonts w:hint="eastAsia"/>
          <w:bCs/>
          <w:szCs w:val="32"/>
        </w:rPr>
        <w:t>，形成</w:t>
      </w:r>
      <w:r>
        <w:rPr>
          <w:rFonts w:ascii="Times New Roman" w:hAnsi="仿宋_GB2312" w:hint="eastAsia"/>
          <w:szCs w:val="32"/>
        </w:rPr>
        <w:t>系统长效治理。（第二条至第五条、第九条）</w:t>
      </w:r>
    </w:p>
    <w:p w:rsidR="001C1C3B" w:rsidRDefault="001C1C3B" w:rsidP="001C1C3B">
      <w:pPr>
        <w:tabs>
          <w:tab w:val="left" w:pos="4834"/>
        </w:tabs>
        <w:adjustRightInd w:val="0"/>
        <w:snapToGrid w:val="0"/>
        <w:spacing w:line="560" w:lineRule="exact"/>
        <w:ind w:firstLineChars="200" w:firstLine="643"/>
        <w:rPr>
          <w:rFonts w:hAnsi="黑体" w:hint="eastAsia"/>
          <w:szCs w:val="32"/>
        </w:rPr>
      </w:pPr>
      <w:r>
        <w:rPr>
          <w:rFonts w:ascii="楷体" w:eastAsia="楷体" w:hAnsi="楷体" w:hint="eastAsia"/>
          <w:b/>
          <w:bCs/>
          <w:color w:val="000000"/>
          <w:szCs w:val="32"/>
        </w:rPr>
        <w:t>（三）支持市政接入领域高水平对标改革。</w:t>
      </w:r>
      <w:r>
        <w:rPr>
          <w:rFonts w:hAnsi="黑体" w:hint="eastAsia"/>
          <w:szCs w:val="32"/>
        </w:rPr>
        <w:t>针对企业反映的</w:t>
      </w:r>
      <w:r>
        <w:rPr>
          <w:rFonts w:ascii="Times New Roman" w:hint="eastAsia"/>
          <w:szCs w:val="32"/>
        </w:rPr>
        <w:t>市政公用管线与道路同步建设、用户接入工程建设费用拨付等方面的问题，明确要求</w:t>
      </w:r>
      <w:r>
        <w:rPr>
          <w:rFonts w:hAnsi="黑体" w:hint="eastAsia"/>
          <w:szCs w:val="32"/>
        </w:rPr>
        <w:t>开展市政公用管线建设，</w:t>
      </w:r>
      <w:r>
        <w:rPr>
          <w:rFonts w:ascii="Times New Roman"/>
          <w:szCs w:val="32"/>
        </w:rPr>
        <w:t>新建</w:t>
      </w:r>
      <w:r>
        <w:rPr>
          <w:rFonts w:ascii="Times New Roman" w:hint="eastAsia"/>
          <w:szCs w:val="32"/>
        </w:rPr>
        <w:t>、</w:t>
      </w:r>
      <w:r>
        <w:rPr>
          <w:rFonts w:ascii="Times New Roman"/>
          <w:szCs w:val="32"/>
        </w:rPr>
        <w:t>改</w:t>
      </w:r>
      <w:r>
        <w:rPr>
          <w:rFonts w:ascii="Times New Roman" w:hint="eastAsia"/>
          <w:szCs w:val="32"/>
        </w:rPr>
        <w:t>建、</w:t>
      </w:r>
      <w:r>
        <w:rPr>
          <w:rFonts w:ascii="Times New Roman"/>
          <w:szCs w:val="32"/>
        </w:rPr>
        <w:t>扩建</w:t>
      </w:r>
      <w:r>
        <w:rPr>
          <w:rFonts w:ascii="Times New Roman" w:hint="eastAsia"/>
          <w:szCs w:val="32"/>
        </w:rPr>
        <w:t>城市</w:t>
      </w:r>
      <w:r>
        <w:rPr>
          <w:rFonts w:ascii="Times New Roman"/>
          <w:szCs w:val="32"/>
        </w:rPr>
        <w:t>道路</w:t>
      </w:r>
      <w:r>
        <w:rPr>
          <w:rFonts w:ascii="Times New Roman" w:hint="eastAsia"/>
          <w:szCs w:val="32"/>
        </w:rPr>
        <w:t>时，应当按照规定同步建设地下管线。对于规划用途为非住宅的土地储备项目，</w:t>
      </w:r>
      <w:r>
        <w:rPr>
          <w:rFonts w:hint="eastAsia"/>
          <w:bCs/>
          <w:szCs w:val="32"/>
        </w:rPr>
        <w:t>土地储备机构</w:t>
      </w:r>
      <w:r>
        <w:rPr>
          <w:bCs/>
          <w:szCs w:val="32"/>
        </w:rPr>
        <w:t>应</w:t>
      </w:r>
      <w:r>
        <w:rPr>
          <w:rFonts w:hint="eastAsia"/>
          <w:bCs/>
          <w:szCs w:val="32"/>
        </w:rPr>
        <w:t>当及时将土地储备信息告知电力等公用企事业单位，并根据土地储备和供应进度按时从土地储备资金中拨付相应费用，确保接入工程顺利实施。</w:t>
      </w:r>
      <w:r>
        <w:rPr>
          <w:rFonts w:hAnsi="黑体" w:hint="eastAsia"/>
          <w:szCs w:val="32"/>
        </w:rPr>
        <w:t>（第六条）</w:t>
      </w:r>
    </w:p>
    <w:p w:rsidR="001C1C3B" w:rsidRDefault="001C1C3B" w:rsidP="001C1C3B">
      <w:pPr>
        <w:spacing w:line="600" w:lineRule="exact"/>
        <w:ind w:firstLineChars="200" w:firstLine="640"/>
        <w:outlineLvl w:val="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三、关于征求意见的重点</w:t>
      </w:r>
    </w:p>
    <w:p w:rsidR="001C1C3B" w:rsidRDefault="001C1C3B" w:rsidP="001C1C3B">
      <w:pPr>
        <w:pStyle w:val="2"/>
        <w:ind w:firstLine="640"/>
        <w:rPr>
          <w:rFonts w:eastAsia="仿宋_GB2312" w:cs="Calibri" w:hint="eastAsia"/>
          <w:szCs w:val="32"/>
        </w:rPr>
      </w:pPr>
      <w:r>
        <w:rPr>
          <w:rFonts w:eastAsia="仿宋_GB2312" w:cs="Calibri" w:hint="eastAsia"/>
          <w:szCs w:val="32"/>
        </w:rPr>
        <w:t>（一）对维护市场秩序和公平竞争的意见和建议；</w:t>
      </w:r>
    </w:p>
    <w:p w:rsidR="001C1C3B" w:rsidRDefault="001C1C3B" w:rsidP="001C1C3B">
      <w:pPr>
        <w:pStyle w:val="2"/>
        <w:ind w:firstLine="640"/>
        <w:rPr>
          <w:rFonts w:eastAsia="仿宋_GB2312" w:cs="Calibri" w:hint="eastAsia"/>
          <w:szCs w:val="32"/>
        </w:rPr>
      </w:pPr>
      <w:r>
        <w:rPr>
          <w:rFonts w:eastAsia="仿宋_GB2312" w:cs="Calibri" w:hint="eastAsia"/>
          <w:szCs w:val="32"/>
        </w:rPr>
        <w:t>（二）对规范涉企行政检查的意见和建议；</w:t>
      </w:r>
    </w:p>
    <w:p w:rsidR="001C1C3B" w:rsidRDefault="001C1C3B" w:rsidP="001C1C3B">
      <w:pPr>
        <w:pStyle w:val="2"/>
        <w:ind w:firstLine="640"/>
        <w:rPr>
          <w:rFonts w:eastAsia="仿宋_GB2312" w:cs="Calibri" w:hint="eastAsia"/>
          <w:szCs w:val="32"/>
        </w:rPr>
      </w:pPr>
      <w:r>
        <w:rPr>
          <w:rFonts w:eastAsia="仿宋_GB2312" w:cs="Calibri" w:hint="eastAsia"/>
          <w:szCs w:val="32"/>
        </w:rPr>
        <w:t>（三）对优化政务服务的意见和建议；</w:t>
      </w:r>
    </w:p>
    <w:p w:rsidR="001C1C3B" w:rsidRDefault="001C1C3B" w:rsidP="001C1C3B">
      <w:pPr>
        <w:pStyle w:val="2"/>
        <w:ind w:firstLine="640"/>
        <w:rPr>
          <w:rFonts w:eastAsia="仿宋_GB2312" w:cs="Calibri" w:hint="eastAsia"/>
          <w:szCs w:val="32"/>
        </w:rPr>
      </w:pPr>
      <w:r>
        <w:rPr>
          <w:rFonts w:eastAsia="仿宋_GB2312" w:cs="Calibri" w:hint="eastAsia"/>
          <w:szCs w:val="32"/>
        </w:rPr>
        <w:t>（四）其他意见和建议。</w:t>
      </w:r>
    </w:p>
    <w:p w:rsidR="00AC7EB2" w:rsidRPr="001C1C3B" w:rsidRDefault="00AC7EB2"/>
    <w:sectPr w:rsidR="00AC7EB2" w:rsidRPr="001C1C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3B"/>
    <w:rsid w:val="001C1C3B"/>
    <w:rsid w:val="00A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641D"/>
  <w15:chartTrackingRefBased/>
  <w15:docId w15:val="{13A7E418-2853-4ABB-B3D1-1213858C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C1C3B"/>
    <w:pPr>
      <w:widowControl w:val="0"/>
      <w:jc w:val="both"/>
    </w:pPr>
    <w:rPr>
      <w:rFonts w:ascii="仿宋_GB2312" w:eastAsia="仿宋_GB2312" w:hAnsi="Calibri" w:cs="Calibri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semiHidden/>
    <w:unhideWhenUsed/>
    <w:rsid w:val="001C1C3B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4"/>
    <w:uiPriority w:val="99"/>
    <w:semiHidden/>
    <w:rsid w:val="001C1C3B"/>
    <w:rPr>
      <w:rFonts w:ascii="仿宋_GB2312" w:eastAsia="仿宋_GB2312" w:hAnsi="Calibri" w:cs="Calibri"/>
      <w:sz w:val="32"/>
      <w:szCs w:val="21"/>
    </w:rPr>
  </w:style>
  <w:style w:type="paragraph" w:styleId="2">
    <w:name w:val="Body Text First Indent 2"/>
    <w:basedOn w:val="a4"/>
    <w:next w:val="a"/>
    <w:link w:val="20"/>
    <w:qFormat/>
    <w:rsid w:val="001C1C3B"/>
    <w:pPr>
      <w:spacing w:after="0"/>
      <w:ind w:leftChars="0" w:left="200" w:firstLineChars="200" w:firstLine="420"/>
    </w:pPr>
    <w:rPr>
      <w:rFonts w:ascii="Times New Roman" w:eastAsia="宋体" w:cs="Times New Roman"/>
    </w:rPr>
  </w:style>
  <w:style w:type="character" w:customStyle="1" w:styleId="20">
    <w:name w:val="正文首行缩进 2 字符"/>
    <w:basedOn w:val="a5"/>
    <w:link w:val="2"/>
    <w:rsid w:val="001C1C3B"/>
    <w:rPr>
      <w:rFonts w:ascii="Times New Roman" w:eastAsia="宋体" w:hAnsi="Calibri" w:cs="Times New Roman"/>
      <w:sz w:val="32"/>
      <w:szCs w:val="21"/>
    </w:rPr>
  </w:style>
  <w:style w:type="paragraph" w:styleId="a0">
    <w:name w:val="Body Text"/>
    <w:basedOn w:val="a"/>
    <w:link w:val="a6"/>
    <w:uiPriority w:val="99"/>
    <w:semiHidden/>
    <w:unhideWhenUsed/>
    <w:rsid w:val="001C1C3B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1C1C3B"/>
    <w:rPr>
      <w:rFonts w:ascii="仿宋_GB2312" w:eastAsia="仿宋_GB2312" w:hAnsi="Calibri" w:cs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</dc:creator>
  <cp:keywords/>
  <dc:description/>
  <cp:lastModifiedBy>jeffrey</cp:lastModifiedBy>
  <cp:revision>1</cp:revision>
  <dcterms:created xsi:type="dcterms:W3CDTF">2025-09-29T02:08:00Z</dcterms:created>
  <dcterms:modified xsi:type="dcterms:W3CDTF">2025-09-29T02:09:00Z</dcterms:modified>
</cp:coreProperties>
</file>